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Times New Roman" w:eastAsia="方正黑体_GBK"/>
          <w:sz w:val="32"/>
          <w:szCs w:val="24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附件2</w:t>
      </w:r>
    </w:p>
    <w:p>
      <w:pPr>
        <w:tabs>
          <w:tab w:val="left" w:pos="5645"/>
        </w:tabs>
        <w:spacing w:line="594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重庆经开区招商集团有限公司</w:t>
      </w:r>
    </w:p>
    <w:p>
      <w:pPr>
        <w:tabs>
          <w:tab w:val="left" w:pos="5645"/>
        </w:tabs>
        <w:spacing w:line="594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2022年度业绩考核指标</w:t>
      </w:r>
      <w:bookmarkEnd w:id="0"/>
    </w:p>
    <w:p>
      <w:pPr>
        <w:tabs>
          <w:tab w:val="left" w:pos="5645"/>
        </w:tabs>
        <w:spacing w:line="594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tbl>
      <w:tblPr>
        <w:tblStyle w:val="2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569"/>
        <w:gridCol w:w="1311"/>
        <w:gridCol w:w="540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6" w:type="dxa"/>
          <w:trHeight w:val="71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考核类别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考核内容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考核细则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16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招商类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30"/>
              </w:rPr>
              <w:t>完成管委会下达的招商任务</w:t>
            </w:r>
          </w:p>
        </w:tc>
        <w:tc>
          <w:tcPr>
            <w:tcW w:w="5865" w:type="dxa"/>
            <w:gridSpan w:val="2"/>
            <w:noWrap w:val="0"/>
            <w:vAlign w:val="center"/>
          </w:tcPr>
          <w:p>
            <w:pPr>
              <w:tabs>
                <w:tab w:val="left" w:pos="312"/>
              </w:tabs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1.正式合同签约金额500亿元（其中工业120亿元，工业项目15个，50亿以上工业项目1个）；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2.新增外资企业3户；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3.新增有实质性业务外贸企业3户，以海关报关单为准；外贸进出口额度总计不低于10亿元人民币；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4.实际到位资金150亿（其中实现新增工业固定资产投资12亿元）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5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仿宋_GBK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30"/>
              </w:rPr>
              <w:t>达到预定的产业招商效益</w:t>
            </w:r>
          </w:p>
        </w:tc>
        <w:tc>
          <w:tcPr>
            <w:tcW w:w="58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1.当年招商企业规上服务业营收30亿；</w:t>
            </w:r>
          </w:p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2.新增入统规上企业15户，新增规上工业企业5户；</w:t>
            </w:r>
          </w:p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3.近3年招商引资企业及当年新招商引资企业，在2022年实现新增规上工业企业产值50亿元；</w:t>
            </w:r>
          </w:p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4.近3年招商引资企业及当年新招商引资企业，2022年全口径税收1亿元。</w:t>
            </w:r>
          </w:p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5.2021年招商项目2022年开工率不低于75%。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gridAfter w:val="1"/>
          <w:wAfter w:w="6" w:type="dxa"/>
          <w:trHeight w:val="2104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服务类</w:t>
            </w:r>
          </w:p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（扣分项）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eastAsia="方正仿宋_GBK"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方正仿宋_GBK"/>
                <w:sz w:val="24"/>
                <w:szCs w:val="30"/>
              </w:rPr>
              <w:t>满意度评价结果不低于95%</w:t>
            </w:r>
          </w:p>
        </w:tc>
        <w:tc>
          <w:tcPr>
            <w:tcW w:w="5859" w:type="dxa"/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每年管委会授权委托第三方机构开展企业满意度调查，评价结果高于95%不扣分，每低1%扣0.5分；发生企业有效投诉，经主管部门认定，每次扣1分。</w:t>
            </w:r>
          </w:p>
        </w:tc>
      </w:tr>
    </w:tbl>
    <w:p>
      <w:pPr>
        <w:spacing w:line="600" w:lineRule="exact"/>
        <w:outlineLvl w:val="0"/>
        <w:rPr>
          <w:rFonts w:ascii="方正小标宋_GBK" w:hAnsi="Times New Roman"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2022-04-29T10:33:47Z</dcterms:created>
  <dc:creator>Administrator</dc:creator>
  <cp:lastModifiedBy>WPS_1648005041</cp:lastModifiedBy>
  <dcterms:modified xsi:type="dcterms:W3CDTF">2022-04-29T10:34:03Z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7D64D16F00EF4DB085718D01A68F2CAA</vt:lpwstr>
  </property>
</Properties>
</file>