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line="360" w:lineRule="auto"/>
        <w:rPr>
          <w:b/>
          <w:color w:val="auto"/>
          <w:kern w:val="0"/>
          <w:sz w:val="50"/>
          <w:szCs w:val="52"/>
        </w:rPr>
      </w:pPr>
    </w:p>
    <w:p>
      <w:pPr>
        <w:topLinePunct/>
        <w:adjustRightInd w:val="0"/>
        <w:spacing w:line="360" w:lineRule="auto"/>
        <w:jc w:val="center"/>
        <w:rPr>
          <w:b/>
          <w:sz w:val="36"/>
          <w:szCs w:val="36"/>
        </w:rPr>
      </w:pPr>
      <w:r>
        <w:rPr>
          <w:rFonts w:hint="eastAsia"/>
          <w:b/>
          <w:sz w:val="36"/>
          <w:szCs w:val="36"/>
        </w:rPr>
        <w:t>通江新城</w:t>
      </w:r>
      <w:r>
        <w:rPr>
          <w:b/>
          <w:sz w:val="36"/>
          <w:szCs w:val="36"/>
        </w:rPr>
        <w:t>B02-42-3</w:t>
      </w:r>
      <w:r>
        <w:rPr>
          <w:rFonts w:hint="eastAsia"/>
          <w:b/>
          <w:sz w:val="36"/>
          <w:szCs w:val="36"/>
        </w:rPr>
        <w:t>地块中学工程</w:t>
      </w:r>
    </w:p>
    <w:p>
      <w:pPr>
        <w:topLinePunct/>
        <w:adjustRightInd w:val="0"/>
        <w:spacing w:line="360" w:lineRule="auto"/>
        <w:jc w:val="center"/>
        <w:rPr>
          <w:rFonts w:ascii="黑体" w:hAnsi="黑体" w:eastAsia="黑体"/>
          <w:kern w:val="0"/>
          <w:sz w:val="72"/>
          <w:szCs w:val="72"/>
        </w:rPr>
      </w:pPr>
      <w:r>
        <w:rPr>
          <w:rFonts w:ascii="黑体" w:hAnsi="黑体" w:eastAsia="黑体"/>
          <w:kern w:val="0"/>
          <w:sz w:val="72"/>
          <w:szCs w:val="72"/>
        </w:rPr>
        <w:t>水土保持监测总结报告</w:t>
      </w:r>
    </w:p>
    <w:p>
      <w:pPr>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ind w:firstLine="1275" w:firstLineChars="397"/>
        <w:rPr>
          <w:b/>
          <w:kern w:val="0"/>
          <w:sz w:val="32"/>
          <w:szCs w:val="32"/>
        </w:rPr>
      </w:pPr>
      <w:r>
        <w:rPr>
          <w:b/>
          <w:kern w:val="0"/>
          <w:sz w:val="32"/>
          <w:szCs w:val="32"/>
        </w:rPr>
        <w:t>建设单位：</w:t>
      </w:r>
      <w:r>
        <w:rPr>
          <w:b/>
          <w:spacing w:val="42"/>
          <w:kern w:val="0"/>
          <w:sz w:val="32"/>
          <w:szCs w:val="32"/>
          <w:fitText w:val="5171" w:id="-1253862654"/>
        </w:rPr>
        <w:t>重庆经开区开发建设有限公</w:t>
      </w:r>
      <w:r>
        <w:rPr>
          <w:b/>
          <w:spacing w:val="1"/>
          <w:kern w:val="0"/>
          <w:sz w:val="32"/>
          <w:szCs w:val="32"/>
          <w:fitText w:val="5171" w:id="-1253862654"/>
        </w:rPr>
        <w:t>司</w:t>
      </w:r>
    </w:p>
    <w:p>
      <w:pPr>
        <w:pStyle w:val="15"/>
        <w:topLinePunct/>
        <w:adjustRightInd w:val="0"/>
        <w:spacing w:line="360" w:lineRule="auto"/>
        <w:ind w:firstLine="1275" w:firstLineChars="397"/>
        <w:rPr>
          <w:b/>
          <w:sz w:val="32"/>
          <w:szCs w:val="32"/>
        </w:rPr>
      </w:pPr>
      <w:r>
        <w:rPr>
          <w:b/>
          <w:kern w:val="0"/>
          <w:sz w:val="32"/>
          <w:szCs w:val="32"/>
        </w:rPr>
        <w:t>编制单位：</w:t>
      </w:r>
      <w:r>
        <w:rPr>
          <w:b/>
          <w:spacing w:val="5"/>
          <w:w w:val="99"/>
          <w:kern w:val="0"/>
          <w:sz w:val="32"/>
          <w:szCs w:val="32"/>
        </w:rPr>
        <w:t>中云智德（重庆）环境技术有限公司</w:t>
      </w:r>
    </w:p>
    <w:p>
      <w:pPr>
        <w:adjustRightInd w:val="0"/>
        <w:spacing w:line="360" w:lineRule="auto"/>
        <w:jc w:val="center"/>
        <w:rPr>
          <w:rFonts w:ascii="宋体" w:hAnsi="宋体"/>
          <w:b/>
          <w:color w:val="000000"/>
          <w:sz w:val="32"/>
          <w:szCs w:val="32"/>
        </w:rPr>
      </w:pPr>
      <w:r>
        <w:rPr>
          <w:rFonts w:hint="eastAsia" w:ascii="宋体" w:hAnsi="宋体"/>
          <w:b/>
          <w:color w:val="000000"/>
          <w:sz w:val="32"/>
          <w:szCs w:val="32"/>
        </w:rPr>
        <w:t>二</w:t>
      </w:r>
      <w:r>
        <w:rPr>
          <w:rFonts w:hint="eastAsia" w:ascii="宋体" w:hAnsi="宋体" w:cs="微软雅黑"/>
          <w:b/>
          <w:color w:val="000000"/>
          <w:sz w:val="32"/>
          <w:szCs w:val="32"/>
        </w:rPr>
        <w:t>〇二三</w:t>
      </w:r>
      <w:r>
        <w:rPr>
          <w:rFonts w:ascii="宋体" w:hAnsi="宋体"/>
          <w:b/>
          <w:color w:val="000000"/>
          <w:sz w:val="32"/>
          <w:szCs w:val="32"/>
        </w:rPr>
        <w:t>年</w:t>
      </w:r>
      <w:r>
        <w:rPr>
          <w:rFonts w:hint="eastAsia" w:ascii="宋体" w:hAnsi="宋体"/>
          <w:b/>
          <w:color w:val="000000"/>
          <w:sz w:val="32"/>
          <w:szCs w:val="32"/>
        </w:rPr>
        <w:t>四</w:t>
      </w:r>
      <w:r>
        <w:rPr>
          <w:rFonts w:ascii="宋体" w:hAnsi="宋体"/>
          <w:b/>
          <w:color w:val="000000"/>
          <w:sz w:val="32"/>
          <w:szCs w:val="32"/>
        </w:rPr>
        <w:t>月</w:t>
      </w:r>
    </w:p>
    <w:p>
      <w:pPr>
        <w:pStyle w:val="62"/>
        <w:spacing w:line="360" w:lineRule="auto"/>
        <w:rPr>
          <w:b/>
          <w:color w:val="auto"/>
          <w:kern w:val="0"/>
          <w:sz w:val="50"/>
          <w:szCs w:val="52"/>
        </w:rPr>
      </w:pPr>
      <w:r>
        <w:rPr>
          <w:spacing w:val="10"/>
          <w:sz w:val="32"/>
          <w:szCs w:val="32"/>
        </w:rPr>
        <w:br w:type="page"/>
      </w:r>
    </w:p>
    <w:p>
      <w:pPr>
        <w:topLinePunct/>
        <w:adjustRightInd w:val="0"/>
        <w:spacing w:line="360" w:lineRule="auto"/>
        <w:jc w:val="center"/>
        <w:rPr>
          <w:bCs/>
          <w:sz w:val="36"/>
          <w:szCs w:val="36"/>
        </w:rPr>
      </w:pPr>
      <w:r>
        <w:rPr>
          <w:rFonts w:hint="eastAsia"/>
          <w:bCs/>
          <w:sz w:val="36"/>
          <w:szCs w:val="36"/>
        </w:rPr>
        <w:t>通江新城</w:t>
      </w:r>
      <w:r>
        <w:rPr>
          <w:bCs/>
          <w:sz w:val="36"/>
          <w:szCs w:val="36"/>
        </w:rPr>
        <w:t>B02-42-3</w:t>
      </w:r>
      <w:r>
        <w:rPr>
          <w:rFonts w:hint="eastAsia"/>
          <w:bCs/>
          <w:sz w:val="36"/>
          <w:szCs w:val="36"/>
        </w:rPr>
        <w:t>地块中学工程</w:t>
      </w:r>
    </w:p>
    <w:p>
      <w:pPr>
        <w:topLinePunct/>
        <w:adjustRightInd w:val="0"/>
        <w:spacing w:line="360" w:lineRule="auto"/>
        <w:jc w:val="center"/>
        <w:rPr>
          <w:rFonts w:ascii="黑体" w:hAnsi="黑体" w:eastAsia="黑体"/>
          <w:kern w:val="0"/>
          <w:sz w:val="72"/>
          <w:szCs w:val="72"/>
        </w:rPr>
      </w:pPr>
      <w:r>
        <w:rPr>
          <w:rFonts w:ascii="黑体" w:hAnsi="黑体" w:eastAsia="黑体"/>
          <w:kern w:val="0"/>
          <w:sz w:val="72"/>
          <w:szCs w:val="72"/>
        </w:rPr>
        <w:t>水土保持监测总结报告</w:t>
      </w:r>
    </w:p>
    <w:p>
      <w:pPr>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jc w:val="center"/>
        <w:rPr>
          <w:b/>
          <w:kern w:val="0"/>
          <w:sz w:val="32"/>
          <w:szCs w:val="32"/>
        </w:rPr>
      </w:pPr>
    </w:p>
    <w:p>
      <w:pPr>
        <w:pStyle w:val="15"/>
        <w:topLinePunct/>
        <w:adjustRightInd w:val="0"/>
        <w:spacing w:line="360" w:lineRule="auto"/>
        <w:ind w:firstLine="1270" w:firstLineChars="397"/>
        <w:rPr>
          <w:bCs/>
          <w:kern w:val="0"/>
          <w:sz w:val="32"/>
          <w:szCs w:val="32"/>
        </w:rPr>
      </w:pPr>
      <w:r>
        <w:rPr>
          <w:bCs/>
          <w:kern w:val="0"/>
          <w:sz w:val="32"/>
          <w:szCs w:val="32"/>
        </w:rPr>
        <w:t>建设单位：</w:t>
      </w:r>
      <w:r>
        <w:rPr>
          <w:bCs/>
          <w:spacing w:val="42"/>
          <w:kern w:val="0"/>
          <w:sz w:val="32"/>
          <w:szCs w:val="32"/>
          <w:fitText w:val="5171" w:id="-1253862400"/>
        </w:rPr>
        <w:t>重庆经开区开发建设有限公</w:t>
      </w:r>
      <w:r>
        <w:rPr>
          <w:bCs/>
          <w:spacing w:val="1"/>
          <w:kern w:val="0"/>
          <w:sz w:val="32"/>
          <w:szCs w:val="32"/>
          <w:fitText w:val="5171" w:id="-1253862400"/>
        </w:rPr>
        <w:t>司</w:t>
      </w:r>
    </w:p>
    <w:p>
      <w:pPr>
        <w:pStyle w:val="15"/>
        <w:topLinePunct/>
        <w:adjustRightInd w:val="0"/>
        <w:spacing w:line="360" w:lineRule="auto"/>
        <w:ind w:firstLine="1270" w:firstLineChars="397"/>
        <w:rPr>
          <w:bCs/>
          <w:sz w:val="32"/>
          <w:szCs w:val="32"/>
        </w:rPr>
      </w:pPr>
      <w:r>
        <w:rPr>
          <w:bCs/>
          <w:kern w:val="0"/>
          <w:sz w:val="32"/>
          <w:szCs w:val="32"/>
        </w:rPr>
        <w:t>编制单位：</w:t>
      </w:r>
      <w:r>
        <w:rPr>
          <w:bCs/>
          <w:spacing w:val="5"/>
          <w:w w:val="99"/>
          <w:kern w:val="0"/>
          <w:sz w:val="32"/>
          <w:szCs w:val="32"/>
        </w:rPr>
        <w:t>中云智德（重庆）环境技术有限公司</w:t>
      </w:r>
    </w:p>
    <w:p>
      <w:pPr>
        <w:adjustRightInd w:val="0"/>
        <w:spacing w:line="360" w:lineRule="auto"/>
        <w:jc w:val="center"/>
        <w:rPr>
          <w:rFonts w:ascii="宋体" w:hAnsi="宋体"/>
          <w:bCs/>
          <w:color w:val="000000"/>
          <w:sz w:val="32"/>
          <w:szCs w:val="32"/>
        </w:rPr>
      </w:pPr>
      <w:r>
        <w:rPr>
          <w:rFonts w:hint="eastAsia" w:ascii="宋体" w:hAnsi="宋体"/>
          <w:bCs/>
          <w:color w:val="000000"/>
          <w:sz w:val="32"/>
          <w:szCs w:val="32"/>
        </w:rPr>
        <w:t>二</w:t>
      </w:r>
      <w:r>
        <w:rPr>
          <w:rFonts w:hint="eastAsia" w:ascii="宋体" w:hAnsi="宋体" w:cs="微软雅黑"/>
          <w:bCs/>
          <w:color w:val="000000"/>
          <w:sz w:val="32"/>
          <w:szCs w:val="32"/>
        </w:rPr>
        <w:t>〇二三</w:t>
      </w:r>
      <w:r>
        <w:rPr>
          <w:rFonts w:ascii="宋体" w:hAnsi="宋体"/>
          <w:bCs/>
          <w:color w:val="000000"/>
          <w:sz w:val="32"/>
          <w:szCs w:val="32"/>
        </w:rPr>
        <w:t>年</w:t>
      </w:r>
      <w:r>
        <w:rPr>
          <w:rFonts w:hint="eastAsia" w:ascii="宋体" w:hAnsi="宋体"/>
          <w:bCs/>
          <w:color w:val="000000"/>
          <w:sz w:val="32"/>
          <w:szCs w:val="32"/>
        </w:rPr>
        <w:t>四</w:t>
      </w:r>
      <w:r>
        <w:rPr>
          <w:rFonts w:ascii="宋体" w:hAnsi="宋体"/>
          <w:bCs/>
          <w:color w:val="000000"/>
          <w:sz w:val="32"/>
          <w:szCs w:val="32"/>
        </w:rPr>
        <w:t>月</w:t>
      </w:r>
    </w:p>
    <w:p>
      <w:pPr>
        <w:widowControl/>
        <w:jc w:val="left"/>
        <w:rPr>
          <w:rFonts w:eastAsia="仿宋_GB2312"/>
          <w:spacing w:val="10"/>
          <w:sz w:val="32"/>
          <w:szCs w:val="32"/>
        </w:rPr>
      </w:pPr>
      <w:r>
        <w:rPr>
          <w:rFonts w:eastAsia="仿宋_GB2312"/>
          <w:spacing w:val="10"/>
          <w:sz w:val="32"/>
          <w:szCs w:val="32"/>
        </w:rPr>
        <w:br w:type="page"/>
      </w:r>
    </w:p>
    <w:p>
      <w:pPr>
        <w:topLinePunct/>
        <w:adjustRightInd w:val="0"/>
        <w:spacing w:line="360" w:lineRule="auto"/>
        <w:jc w:val="center"/>
        <w:rPr>
          <w:b/>
          <w:sz w:val="32"/>
          <w:szCs w:val="32"/>
        </w:rPr>
      </w:pPr>
    </w:p>
    <w:p>
      <w:pPr>
        <w:topLinePunct/>
        <w:adjustRightInd w:val="0"/>
        <w:spacing w:line="360" w:lineRule="auto"/>
        <w:jc w:val="center"/>
        <w:rPr>
          <w:rFonts w:ascii="仿宋_GB2312" w:eastAsia="仿宋_GB2312"/>
          <w:bCs/>
          <w:sz w:val="32"/>
          <w:szCs w:val="32"/>
        </w:rPr>
      </w:pPr>
      <w:r>
        <w:rPr>
          <w:rFonts w:hint="eastAsia" w:ascii="仿宋_GB2312" w:eastAsia="仿宋_GB2312"/>
          <w:bCs/>
          <w:sz w:val="32"/>
          <w:szCs w:val="32"/>
        </w:rPr>
        <w:t>通江新城</w:t>
      </w:r>
      <w:r>
        <w:rPr>
          <w:rFonts w:eastAsia="仿宋_GB2312"/>
          <w:bCs/>
          <w:sz w:val="32"/>
          <w:szCs w:val="32"/>
        </w:rPr>
        <w:t>B02-42-3地</w:t>
      </w:r>
      <w:r>
        <w:rPr>
          <w:rFonts w:hint="eastAsia" w:ascii="仿宋_GB2312" w:eastAsia="仿宋_GB2312"/>
          <w:bCs/>
          <w:sz w:val="32"/>
          <w:szCs w:val="32"/>
        </w:rPr>
        <w:t>块中学工程</w:t>
      </w:r>
    </w:p>
    <w:p>
      <w:pPr>
        <w:topLinePunct/>
        <w:adjustRightInd w:val="0"/>
        <w:spacing w:line="360" w:lineRule="auto"/>
        <w:jc w:val="center"/>
        <w:rPr>
          <w:rFonts w:ascii="仿宋_GB2312" w:hAnsi="黑体" w:eastAsia="仿宋_GB2312"/>
          <w:bCs/>
          <w:kern w:val="0"/>
          <w:sz w:val="32"/>
          <w:szCs w:val="32"/>
        </w:rPr>
      </w:pPr>
      <w:r>
        <w:rPr>
          <w:rFonts w:hint="eastAsia" w:ascii="仿宋_GB2312" w:hAnsi="黑体" w:eastAsia="仿宋_GB2312"/>
          <w:bCs/>
          <w:kern w:val="0"/>
          <w:sz w:val="32"/>
          <w:szCs w:val="32"/>
        </w:rPr>
        <w:t>水土保持监测总结报告</w:t>
      </w:r>
    </w:p>
    <w:p>
      <w:pPr>
        <w:topLinePunct/>
        <w:adjustRightInd w:val="0"/>
        <w:spacing w:line="360" w:lineRule="auto"/>
        <w:jc w:val="center"/>
        <w:rPr>
          <w:rFonts w:ascii="仿宋_GB2312" w:eastAsia="仿宋_GB2312"/>
          <w:bCs/>
          <w:spacing w:val="-20"/>
          <w:sz w:val="32"/>
          <w:szCs w:val="32"/>
        </w:rPr>
      </w:pPr>
      <w:r>
        <w:rPr>
          <w:rFonts w:hint="eastAsia" w:ascii="仿宋_GB2312" w:eastAsia="仿宋_GB2312"/>
          <w:bCs/>
          <w:sz w:val="32"/>
          <w:szCs w:val="32"/>
        </w:rPr>
        <w:t>责任页</w:t>
      </w:r>
    </w:p>
    <w:p>
      <w:pPr>
        <w:autoSpaceDE w:val="0"/>
        <w:autoSpaceDN w:val="0"/>
        <w:adjustRightInd w:val="0"/>
        <w:spacing w:line="360" w:lineRule="auto"/>
        <w:jc w:val="center"/>
        <w:rPr>
          <w:rFonts w:eastAsia="仿宋_GB2312"/>
          <w:spacing w:val="-10"/>
          <w:kern w:val="0"/>
          <w:sz w:val="32"/>
          <w:szCs w:val="32"/>
        </w:rPr>
      </w:pPr>
      <w:r>
        <w:rPr>
          <w:rFonts w:hint="eastAsia" w:eastAsia="仿宋_GB2312"/>
          <w:spacing w:val="-10"/>
          <w:kern w:val="0"/>
          <w:sz w:val="32"/>
          <w:szCs w:val="32"/>
        </w:rPr>
        <w:t>中云智德（重庆）环境技术有限公司</w:t>
      </w:r>
    </w:p>
    <w:p>
      <w:pPr>
        <w:autoSpaceDE w:val="0"/>
        <w:autoSpaceDN w:val="0"/>
        <w:adjustRightInd w:val="0"/>
        <w:spacing w:line="360" w:lineRule="auto"/>
        <w:jc w:val="center"/>
        <w:rPr>
          <w:rFonts w:eastAsia="仿宋_GB2312"/>
          <w:spacing w:val="-10"/>
          <w:kern w:val="0"/>
          <w:sz w:val="36"/>
          <w:szCs w:val="36"/>
        </w:rPr>
      </w:pPr>
    </w:p>
    <w:p>
      <w:pPr>
        <w:autoSpaceDE w:val="0"/>
        <w:autoSpaceDN w:val="0"/>
        <w:adjustRightInd w:val="0"/>
        <w:spacing w:line="800" w:lineRule="exact"/>
        <w:ind w:left="315" w:leftChars="150"/>
        <w:jc w:val="left"/>
        <w:rPr>
          <w:rFonts w:ascii="仿宋" w:hAnsi="仿宋" w:eastAsia="仿宋"/>
          <w:b/>
          <w:kern w:val="0"/>
          <w:sz w:val="30"/>
          <w:szCs w:val="30"/>
        </w:rPr>
      </w:pPr>
      <w:bookmarkStart w:id="0" w:name="_Hlk134448679"/>
      <w:r>
        <w:drawing>
          <wp:anchor distT="0" distB="0" distL="114300" distR="114300" simplePos="0" relativeHeight="251665408" behindDoc="1" locked="0" layoutInCell="1" allowOverlap="1">
            <wp:simplePos x="0" y="0"/>
            <wp:positionH relativeFrom="column">
              <wp:posOffset>3562350</wp:posOffset>
            </wp:positionH>
            <wp:positionV relativeFrom="paragraph">
              <wp:posOffset>157480</wp:posOffset>
            </wp:positionV>
            <wp:extent cx="734695" cy="409575"/>
            <wp:effectExtent l="0" t="0" r="8255" b="9525"/>
            <wp:wrapTight wrapText="bothSides">
              <wp:wrapPolygon>
                <wp:start x="0" y="0"/>
                <wp:lineTo x="0" y="21098"/>
                <wp:lineTo x="21283" y="21098"/>
                <wp:lineTo x="21283" y="0"/>
                <wp:lineTo x="0" y="0"/>
              </wp:wrapPolygon>
            </wp:wrapTight>
            <wp:docPr id="1650215471" name="图片 165021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15471" name="图片 16502154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4695" cy="409575"/>
                    </a:xfrm>
                    <a:prstGeom prst="rect">
                      <a:avLst/>
                    </a:prstGeom>
                    <a:noFill/>
                    <a:ln>
                      <a:noFill/>
                    </a:ln>
                  </pic:spPr>
                </pic:pic>
              </a:graphicData>
            </a:graphic>
          </wp:anchor>
        </w:drawing>
      </w:r>
      <w:r>
        <w:rPr>
          <w:rFonts w:ascii="仿宋" w:hAnsi="仿宋" w:eastAsia="仿宋"/>
          <w:b/>
          <w:spacing w:val="452"/>
          <w:kern w:val="0"/>
          <w:sz w:val="30"/>
          <w:szCs w:val="30"/>
          <w:fitText w:val="1505" w:id="-1269123838"/>
        </w:rPr>
        <w:t>批</w:t>
      </w:r>
      <w:r>
        <w:rPr>
          <w:rFonts w:ascii="仿宋" w:hAnsi="仿宋" w:eastAsia="仿宋"/>
          <w:b/>
          <w:spacing w:val="0"/>
          <w:kern w:val="0"/>
          <w:sz w:val="30"/>
          <w:szCs w:val="30"/>
          <w:fitText w:val="1505" w:id="-1269123838"/>
        </w:rPr>
        <w:t>准</w:t>
      </w:r>
      <w:r>
        <w:rPr>
          <w:rFonts w:ascii="仿宋" w:hAnsi="仿宋" w:eastAsia="仿宋"/>
          <w:b/>
          <w:kern w:val="0"/>
          <w:sz w:val="30"/>
          <w:szCs w:val="30"/>
        </w:rPr>
        <w:t>：</w:t>
      </w:r>
      <w:r>
        <w:rPr>
          <w:rFonts w:ascii="仿宋" w:hAnsi="仿宋" w:eastAsia="仿宋"/>
          <w:spacing w:val="150"/>
          <w:kern w:val="0"/>
          <w:sz w:val="30"/>
          <w:szCs w:val="30"/>
          <w:fitText w:val="900" w:id="-1269123582"/>
        </w:rPr>
        <w:t>黄</w:t>
      </w:r>
      <w:r>
        <w:rPr>
          <w:rFonts w:ascii="仿宋" w:hAnsi="仿宋" w:eastAsia="仿宋"/>
          <w:spacing w:val="0"/>
          <w:kern w:val="0"/>
          <w:sz w:val="30"/>
          <w:szCs w:val="30"/>
          <w:fitText w:val="900" w:id="-1269123582"/>
        </w:rPr>
        <w:t>希</w:t>
      </w:r>
      <w:r>
        <w:rPr>
          <w:rFonts w:ascii="仿宋" w:hAnsi="仿宋" w:eastAsia="仿宋"/>
          <w:spacing w:val="0"/>
          <w:kern w:val="0"/>
          <w:sz w:val="30"/>
          <w:szCs w:val="30"/>
          <w:fitText w:val="2100" w:id="2078564864"/>
        </w:rPr>
        <w:t>（高级工程师）</w:t>
      </w:r>
    </w:p>
    <w:p>
      <w:pPr>
        <w:autoSpaceDE w:val="0"/>
        <w:autoSpaceDN w:val="0"/>
        <w:adjustRightInd w:val="0"/>
        <w:spacing w:line="800" w:lineRule="exact"/>
        <w:ind w:left="315" w:leftChars="150"/>
        <w:jc w:val="left"/>
        <w:rPr>
          <w:rFonts w:ascii="仿宋" w:hAnsi="仿宋" w:eastAsia="仿宋"/>
          <w:b/>
          <w:kern w:val="0"/>
          <w:sz w:val="30"/>
          <w:szCs w:val="30"/>
        </w:rPr>
      </w:pPr>
      <w:r>
        <w:rPr>
          <w:rFonts w:ascii="仿宋" w:hAnsi="仿宋" w:eastAsia="仿宋"/>
        </w:rPr>
        <w:drawing>
          <wp:anchor distT="0" distB="0" distL="114300" distR="114300" simplePos="0" relativeHeight="251662336" behindDoc="1" locked="0" layoutInCell="1" allowOverlap="1">
            <wp:simplePos x="0" y="0"/>
            <wp:positionH relativeFrom="column">
              <wp:posOffset>3546475</wp:posOffset>
            </wp:positionH>
            <wp:positionV relativeFrom="paragraph">
              <wp:posOffset>151130</wp:posOffset>
            </wp:positionV>
            <wp:extent cx="734695" cy="409575"/>
            <wp:effectExtent l="0" t="0" r="8255" b="9525"/>
            <wp:wrapTight wrapText="bothSides">
              <wp:wrapPolygon>
                <wp:start x="0" y="0"/>
                <wp:lineTo x="0" y="21098"/>
                <wp:lineTo x="21283" y="21098"/>
                <wp:lineTo x="2128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4695" cy="409575"/>
                    </a:xfrm>
                    <a:prstGeom prst="rect">
                      <a:avLst/>
                    </a:prstGeom>
                    <a:noFill/>
                    <a:ln>
                      <a:noFill/>
                    </a:ln>
                  </pic:spPr>
                </pic:pic>
              </a:graphicData>
            </a:graphic>
          </wp:anchor>
        </w:drawing>
      </w:r>
      <w:r>
        <w:rPr>
          <w:rFonts w:ascii="仿宋" w:hAnsi="仿宋" w:eastAsia="仿宋"/>
          <w:b/>
          <w:spacing w:val="452"/>
          <w:kern w:val="0"/>
          <w:sz w:val="30"/>
          <w:szCs w:val="30"/>
          <w:fitText w:val="1505" w:id="-1269123837"/>
        </w:rPr>
        <w:t>核</w:t>
      </w:r>
      <w:r>
        <w:rPr>
          <w:rFonts w:ascii="仿宋" w:hAnsi="仿宋" w:eastAsia="仿宋"/>
          <w:b/>
          <w:spacing w:val="0"/>
          <w:kern w:val="0"/>
          <w:sz w:val="30"/>
          <w:szCs w:val="30"/>
          <w:fitText w:val="1505" w:id="-1269123837"/>
        </w:rPr>
        <w:t>定</w:t>
      </w:r>
      <w:r>
        <w:rPr>
          <w:rFonts w:ascii="仿宋" w:hAnsi="仿宋" w:eastAsia="仿宋"/>
          <w:b/>
          <w:kern w:val="0"/>
          <w:sz w:val="30"/>
          <w:szCs w:val="30"/>
        </w:rPr>
        <w:t>：</w:t>
      </w:r>
      <w:r>
        <w:rPr>
          <w:rFonts w:ascii="仿宋" w:hAnsi="仿宋" w:eastAsia="仿宋"/>
          <w:spacing w:val="150"/>
          <w:kern w:val="0"/>
          <w:sz w:val="30"/>
          <w:szCs w:val="30"/>
          <w:fitText w:val="900" w:id="-1269123581"/>
        </w:rPr>
        <w:t>黄</w:t>
      </w:r>
      <w:r>
        <w:rPr>
          <w:rFonts w:ascii="仿宋" w:hAnsi="仿宋" w:eastAsia="仿宋"/>
          <w:spacing w:val="0"/>
          <w:kern w:val="0"/>
          <w:sz w:val="30"/>
          <w:szCs w:val="30"/>
          <w:fitText w:val="900" w:id="-1269123581"/>
        </w:rPr>
        <w:t>希</w:t>
      </w:r>
      <w:r>
        <w:rPr>
          <w:rFonts w:ascii="仿宋" w:hAnsi="仿宋" w:eastAsia="仿宋"/>
          <w:spacing w:val="0"/>
          <w:kern w:val="0"/>
          <w:sz w:val="30"/>
          <w:szCs w:val="30"/>
          <w:fitText w:val="2100" w:id="2083328512"/>
        </w:rPr>
        <w:t>（高级工程师）</w:t>
      </w:r>
    </w:p>
    <w:p>
      <w:pPr>
        <w:autoSpaceDE w:val="0"/>
        <w:autoSpaceDN w:val="0"/>
        <w:adjustRightInd w:val="0"/>
        <w:spacing w:line="800" w:lineRule="exact"/>
        <w:ind w:left="315" w:leftChars="150"/>
        <w:jc w:val="left"/>
        <w:rPr>
          <w:rFonts w:ascii="仿宋" w:hAnsi="仿宋" w:eastAsia="仿宋"/>
          <w:b/>
          <w:kern w:val="0"/>
          <w:sz w:val="30"/>
          <w:szCs w:val="30"/>
        </w:rPr>
      </w:pPr>
      <w:r>
        <w:rPr>
          <w:rFonts w:ascii="仿宋" w:hAnsi="仿宋" w:eastAsia="仿宋"/>
          <w:sz w:val="28"/>
          <w:szCs w:val="28"/>
        </w:rPr>
        <w:drawing>
          <wp:anchor distT="0" distB="0" distL="114300" distR="114300" simplePos="0" relativeHeight="251660288" behindDoc="0" locked="0" layoutInCell="1" allowOverlap="1">
            <wp:simplePos x="0" y="0"/>
            <wp:positionH relativeFrom="column">
              <wp:posOffset>3505200</wp:posOffset>
            </wp:positionH>
            <wp:positionV relativeFrom="paragraph">
              <wp:posOffset>147955</wp:posOffset>
            </wp:positionV>
            <wp:extent cx="847725" cy="390525"/>
            <wp:effectExtent l="0" t="0" r="9525" b="952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47725" cy="390525"/>
                    </a:xfrm>
                    <a:prstGeom prst="rect">
                      <a:avLst/>
                    </a:prstGeom>
                    <a:noFill/>
                    <a:ln>
                      <a:noFill/>
                    </a:ln>
                  </pic:spPr>
                </pic:pic>
              </a:graphicData>
            </a:graphic>
          </wp:anchor>
        </w:drawing>
      </w:r>
      <w:r>
        <w:rPr>
          <w:rFonts w:ascii="仿宋" w:hAnsi="仿宋" w:eastAsia="仿宋"/>
          <w:b/>
          <w:spacing w:val="452"/>
          <w:kern w:val="0"/>
          <w:sz w:val="30"/>
          <w:szCs w:val="30"/>
          <w:fitText w:val="1505" w:id="-1269123836"/>
        </w:rPr>
        <w:t>审</w:t>
      </w:r>
      <w:r>
        <w:rPr>
          <w:rFonts w:ascii="仿宋" w:hAnsi="仿宋" w:eastAsia="仿宋"/>
          <w:b/>
          <w:spacing w:val="0"/>
          <w:kern w:val="0"/>
          <w:sz w:val="30"/>
          <w:szCs w:val="30"/>
          <w:fitText w:val="1505" w:id="-1269123836"/>
        </w:rPr>
        <w:t>查</w:t>
      </w:r>
      <w:r>
        <w:rPr>
          <w:rFonts w:ascii="仿宋" w:hAnsi="仿宋" w:eastAsia="仿宋"/>
          <w:b/>
          <w:kern w:val="0"/>
          <w:sz w:val="30"/>
          <w:szCs w:val="30"/>
        </w:rPr>
        <w:t>：</w:t>
      </w:r>
      <w:r>
        <w:rPr>
          <w:rFonts w:ascii="仿宋" w:hAnsi="仿宋" w:eastAsia="仿宋"/>
          <w:kern w:val="0"/>
          <w:sz w:val="30"/>
          <w:szCs w:val="30"/>
        </w:rPr>
        <w:t>张永民（</w:t>
      </w:r>
      <w:r>
        <w:rPr>
          <w:rFonts w:ascii="仿宋" w:hAnsi="仿宋" w:eastAsia="仿宋"/>
          <w:spacing w:val="0"/>
          <w:kern w:val="0"/>
          <w:sz w:val="30"/>
          <w:szCs w:val="30"/>
          <w:fitText w:val="1500" w:id="-1269124096"/>
        </w:rPr>
        <w:t>高级工程师</w:t>
      </w:r>
      <w:r>
        <w:rPr>
          <w:rFonts w:ascii="仿宋" w:hAnsi="仿宋" w:eastAsia="仿宋"/>
          <w:kern w:val="0"/>
          <w:sz w:val="30"/>
          <w:szCs w:val="30"/>
        </w:rPr>
        <w:t>）</w:t>
      </w:r>
    </w:p>
    <w:p>
      <w:pPr>
        <w:autoSpaceDE w:val="0"/>
        <w:autoSpaceDN w:val="0"/>
        <w:adjustRightInd w:val="0"/>
        <w:spacing w:line="800" w:lineRule="exact"/>
        <w:ind w:left="315" w:leftChars="150"/>
        <w:jc w:val="left"/>
        <w:rPr>
          <w:rFonts w:ascii="仿宋" w:hAnsi="仿宋" w:eastAsia="仿宋"/>
          <w:b/>
          <w:kern w:val="0"/>
          <w:sz w:val="30"/>
          <w:szCs w:val="30"/>
        </w:rPr>
      </w:pPr>
      <w:r>
        <w:rPr>
          <w:rFonts w:ascii="仿宋" w:hAnsi="仿宋" w:eastAsia="仿宋"/>
        </w:rPr>
        <w:drawing>
          <wp:anchor distT="0" distB="0" distL="114300" distR="114300" simplePos="0" relativeHeight="251661312" behindDoc="1" locked="0" layoutInCell="1" allowOverlap="1">
            <wp:simplePos x="0" y="0"/>
            <wp:positionH relativeFrom="column">
              <wp:posOffset>3590925</wp:posOffset>
            </wp:positionH>
            <wp:positionV relativeFrom="paragraph">
              <wp:posOffset>205105</wp:posOffset>
            </wp:positionV>
            <wp:extent cx="657860" cy="278765"/>
            <wp:effectExtent l="0" t="0" r="8890" b="6985"/>
            <wp:wrapThrough wrapText="bothSides">
              <wp:wrapPolygon>
                <wp:start x="0" y="0"/>
                <wp:lineTo x="0" y="20665"/>
                <wp:lineTo x="21266" y="20665"/>
                <wp:lineTo x="21266" y="0"/>
                <wp:lineTo x="0" y="0"/>
              </wp:wrapPolygon>
            </wp:wrapThrough>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57860" cy="278765"/>
                    </a:xfrm>
                    <a:prstGeom prst="rect">
                      <a:avLst/>
                    </a:prstGeom>
                    <a:noFill/>
                    <a:ln>
                      <a:noFill/>
                    </a:ln>
                  </pic:spPr>
                </pic:pic>
              </a:graphicData>
            </a:graphic>
          </wp:anchor>
        </w:drawing>
      </w:r>
      <w:r>
        <w:rPr>
          <w:rFonts w:ascii="仿宋" w:hAnsi="仿宋" w:eastAsia="仿宋"/>
          <w:b/>
          <w:spacing w:val="452"/>
          <w:kern w:val="0"/>
          <w:sz w:val="30"/>
          <w:szCs w:val="30"/>
          <w:fitText w:val="1505" w:id="-1269123835"/>
        </w:rPr>
        <w:t>校</w:t>
      </w:r>
      <w:r>
        <w:rPr>
          <w:rFonts w:ascii="仿宋" w:hAnsi="仿宋" w:eastAsia="仿宋"/>
          <w:b/>
          <w:spacing w:val="0"/>
          <w:kern w:val="0"/>
          <w:sz w:val="30"/>
          <w:szCs w:val="30"/>
          <w:fitText w:val="1505" w:id="-1269123835"/>
        </w:rPr>
        <w:t>核</w:t>
      </w:r>
      <w:r>
        <w:rPr>
          <w:rFonts w:ascii="仿宋" w:hAnsi="仿宋" w:eastAsia="仿宋"/>
          <w:b/>
          <w:kern w:val="0"/>
          <w:sz w:val="30"/>
          <w:szCs w:val="30"/>
        </w:rPr>
        <w:t>：</w:t>
      </w:r>
      <w:r>
        <w:rPr>
          <w:rFonts w:ascii="仿宋" w:hAnsi="仿宋" w:eastAsia="仿宋"/>
          <w:kern w:val="0"/>
          <w:sz w:val="30"/>
          <w:szCs w:val="30"/>
        </w:rPr>
        <w:t>叶阿冰（</w:t>
      </w:r>
      <w:r>
        <w:rPr>
          <w:rFonts w:ascii="仿宋" w:hAnsi="仿宋" w:eastAsia="仿宋"/>
          <w:spacing w:val="150"/>
          <w:kern w:val="0"/>
          <w:sz w:val="30"/>
          <w:szCs w:val="30"/>
          <w:fitText w:val="1500" w:id="-1269124095"/>
        </w:rPr>
        <w:t>工程</w:t>
      </w:r>
      <w:r>
        <w:rPr>
          <w:rFonts w:ascii="仿宋" w:hAnsi="仿宋" w:eastAsia="仿宋"/>
          <w:spacing w:val="0"/>
          <w:kern w:val="0"/>
          <w:sz w:val="30"/>
          <w:szCs w:val="30"/>
          <w:fitText w:val="1500" w:id="-1269124095"/>
        </w:rPr>
        <w:t>师</w:t>
      </w:r>
      <w:r>
        <w:rPr>
          <w:rFonts w:ascii="仿宋" w:hAnsi="仿宋" w:eastAsia="仿宋"/>
          <w:kern w:val="0"/>
          <w:sz w:val="30"/>
          <w:szCs w:val="30"/>
        </w:rPr>
        <w:t>）</w:t>
      </w:r>
    </w:p>
    <w:p>
      <w:pPr>
        <w:autoSpaceDE w:val="0"/>
        <w:autoSpaceDN w:val="0"/>
        <w:adjustRightInd w:val="0"/>
        <w:spacing w:line="800" w:lineRule="exact"/>
        <w:ind w:left="315" w:leftChars="150"/>
        <w:jc w:val="left"/>
        <w:rPr>
          <w:rFonts w:ascii="仿宋" w:hAnsi="仿宋" w:eastAsia="仿宋"/>
          <w:b/>
          <w:kern w:val="0"/>
          <w:sz w:val="30"/>
          <w:szCs w:val="30"/>
        </w:rPr>
      </w:pPr>
      <w:r>
        <w:rPr>
          <w:rFonts w:ascii="仿宋" w:hAnsi="仿宋" w:eastAsia="仿宋"/>
          <w:sz w:val="30"/>
          <w:szCs w:val="30"/>
        </w:rPr>
        <w:drawing>
          <wp:anchor distT="0" distB="0" distL="114300" distR="114300" simplePos="0" relativeHeight="251663360" behindDoc="0" locked="0" layoutInCell="1" allowOverlap="1">
            <wp:simplePos x="0" y="0"/>
            <wp:positionH relativeFrom="column">
              <wp:posOffset>3495675</wp:posOffset>
            </wp:positionH>
            <wp:positionV relativeFrom="paragraph">
              <wp:posOffset>159385</wp:posOffset>
            </wp:positionV>
            <wp:extent cx="868680" cy="361950"/>
            <wp:effectExtent l="0" t="0" r="762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68680" cy="361950"/>
                    </a:xfrm>
                    <a:prstGeom prst="rect">
                      <a:avLst/>
                    </a:prstGeom>
                    <a:noFill/>
                    <a:ln>
                      <a:noFill/>
                    </a:ln>
                  </pic:spPr>
                </pic:pic>
              </a:graphicData>
            </a:graphic>
          </wp:anchor>
        </w:drawing>
      </w:r>
      <w:r>
        <w:rPr>
          <w:rFonts w:ascii="仿宋" w:hAnsi="仿宋" w:eastAsia="仿宋"/>
          <w:b/>
          <w:spacing w:val="0"/>
          <w:w w:val="100"/>
          <w:kern w:val="0"/>
          <w:sz w:val="30"/>
          <w:szCs w:val="30"/>
          <w:fitText w:val="1505" w:id="-1269123833"/>
        </w:rPr>
        <w:t>项目负责人</w:t>
      </w:r>
      <w:r>
        <w:rPr>
          <w:rFonts w:ascii="仿宋" w:hAnsi="仿宋" w:eastAsia="仿宋"/>
          <w:b/>
          <w:kern w:val="0"/>
          <w:sz w:val="30"/>
          <w:szCs w:val="30"/>
        </w:rPr>
        <w:t>：</w:t>
      </w:r>
      <w:r>
        <w:rPr>
          <w:rFonts w:ascii="仿宋" w:hAnsi="仿宋" w:eastAsia="仿宋"/>
          <w:kern w:val="0"/>
          <w:sz w:val="30"/>
          <w:szCs w:val="30"/>
        </w:rPr>
        <w:t>袁昌江（</w:t>
      </w:r>
      <w:r>
        <w:rPr>
          <w:rFonts w:ascii="仿宋" w:hAnsi="仿宋" w:eastAsia="仿宋"/>
          <w:spacing w:val="150"/>
          <w:kern w:val="0"/>
          <w:sz w:val="30"/>
          <w:szCs w:val="30"/>
          <w:fitText w:val="1500" w:id="-1269123840"/>
        </w:rPr>
        <w:t>工程</w:t>
      </w:r>
      <w:r>
        <w:rPr>
          <w:rFonts w:ascii="仿宋" w:hAnsi="仿宋" w:eastAsia="仿宋"/>
          <w:spacing w:val="0"/>
          <w:kern w:val="0"/>
          <w:sz w:val="30"/>
          <w:szCs w:val="30"/>
          <w:fitText w:val="1500" w:id="-1269123840"/>
        </w:rPr>
        <w:t>师</w:t>
      </w:r>
      <w:r>
        <w:rPr>
          <w:rFonts w:ascii="仿宋" w:hAnsi="仿宋" w:eastAsia="仿宋"/>
          <w:kern w:val="0"/>
          <w:sz w:val="30"/>
          <w:szCs w:val="30"/>
        </w:rPr>
        <w:t>）</w:t>
      </w:r>
    </w:p>
    <w:p>
      <w:pPr>
        <w:autoSpaceDE w:val="0"/>
        <w:autoSpaceDN w:val="0"/>
        <w:adjustRightInd w:val="0"/>
        <w:spacing w:line="800" w:lineRule="exact"/>
        <w:ind w:left="315" w:leftChars="150"/>
        <w:jc w:val="left"/>
        <w:rPr>
          <w:kern w:val="0"/>
          <w:sz w:val="30"/>
          <w:szCs w:val="30"/>
        </w:rPr>
      </w:pPr>
      <w:r>
        <w:rPr>
          <w:rFonts w:ascii="仿宋" w:hAnsi="仿宋" w:eastAsia="仿宋"/>
          <w:sz w:val="30"/>
          <w:szCs w:val="30"/>
        </w:rPr>
        <w:drawing>
          <wp:anchor distT="0" distB="0" distL="114300" distR="114300" simplePos="0" relativeHeight="251664384" behindDoc="0" locked="0" layoutInCell="1" allowOverlap="1">
            <wp:simplePos x="0" y="0"/>
            <wp:positionH relativeFrom="column">
              <wp:posOffset>3495675</wp:posOffset>
            </wp:positionH>
            <wp:positionV relativeFrom="paragraph">
              <wp:posOffset>138430</wp:posOffset>
            </wp:positionV>
            <wp:extent cx="868680" cy="361950"/>
            <wp:effectExtent l="0" t="0" r="7620" b="0"/>
            <wp:wrapNone/>
            <wp:docPr id="790584553" name="图片 79058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84553" name="图片 7905845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68680" cy="361950"/>
                    </a:xfrm>
                    <a:prstGeom prst="rect">
                      <a:avLst/>
                    </a:prstGeom>
                    <a:noFill/>
                    <a:ln>
                      <a:noFill/>
                    </a:ln>
                  </pic:spPr>
                </pic:pic>
              </a:graphicData>
            </a:graphic>
          </wp:anchor>
        </w:drawing>
      </w:r>
      <w:r>
        <w:rPr>
          <w:rFonts w:ascii="仿宋" w:hAnsi="仿宋" w:eastAsia="仿宋"/>
          <w:b/>
          <w:spacing w:val="452"/>
          <w:kern w:val="0"/>
          <w:sz w:val="30"/>
          <w:szCs w:val="30"/>
          <w:fitText w:val="1505" w:id="-1269123834"/>
        </w:rPr>
        <w:t>编</w:t>
      </w:r>
      <w:r>
        <w:rPr>
          <w:rFonts w:ascii="仿宋" w:hAnsi="仿宋" w:eastAsia="仿宋"/>
          <w:b/>
          <w:spacing w:val="0"/>
          <w:kern w:val="0"/>
          <w:sz w:val="30"/>
          <w:szCs w:val="30"/>
          <w:fitText w:val="1505" w:id="-1269123834"/>
        </w:rPr>
        <w:t>写</w:t>
      </w:r>
      <w:r>
        <w:rPr>
          <w:rFonts w:ascii="仿宋" w:hAnsi="仿宋" w:eastAsia="仿宋"/>
          <w:b/>
          <w:kern w:val="0"/>
          <w:sz w:val="30"/>
          <w:szCs w:val="30"/>
        </w:rPr>
        <w:t>：</w:t>
      </w:r>
      <w:r>
        <w:rPr>
          <w:rFonts w:ascii="仿宋" w:hAnsi="仿宋" w:eastAsia="仿宋"/>
          <w:kern w:val="0"/>
          <w:sz w:val="30"/>
          <w:szCs w:val="30"/>
        </w:rPr>
        <w:t>袁昌江（</w:t>
      </w:r>
      <w:r>
        <w:rPr>
          <w:rFonts w:ascii="仿宋" w:hAnsi="仿宋" w:eastAsia="仿宋"/>
          <w:spacing w:val="150"/>
          <w:kern w:val="0"/>
          <w:sz w:val="30"/>
          <w:szCs w:val="30"/>
          <w:fitText w:val="1500" w:id="-1269123839"/>
        </w:rPr>
        <w:t>工程</w:t>
      </w:r>
      <w:r>
        <w:rPr>
          <w:rFonts w:ascii="仿宋" w:hAnsi="仿宋" w:eastAsia="仿宋"/>
          <w:spacing w:val="0"/>
          <w:kern w:val="0"/>
          <w:sz w:val="30"/>
          <w:szCs w:val="30"/>
          <w:fitText w:val="1500" w:id="-1269123839"/>
        </w:rPr>
        <w:t>师</w:t>
      </w:r>
      <w:r>
        <w:rPr>
          <w:rFonts w:ascii="仿宋" w:hAnsi="仿宋" w:eastAsia="仿宋"/>
          <w:kern w:val="0"/>
          <w:sz w:val="30"/>
          <w:szCs w:val="30"/>
        </w:rPr>
        <w:t>）</w:t>
      </w:r>
      <w:r>
        <w:drawing>
          <wp:anchor distT="0" distB="0" distL="114300" distR="114300" simplePos="0" relativeHeight="251659264" behindDoc="0" locked="0" layoutInCell="1" allowOverlap="1">
            <wp:simplePos x="0" y="0"/>
            <wp:positionH relativeFrom="column">
              <wp:posOffset>5202555</wp:posOffset>
            </wp:positionH>
            <wp:positionV relativeFrom="paragraph">
              <wp:posOffset>6419215</wp:posOffset>
            </wp:positionV>
            <wp:extent cx="700405" cy="449580"/>
            <wp:effectExtent l="0" t="0" r="0" b="0"/>
            <wp:wrapNone/>
            <wp:docPr id="16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00405" cy="449580"/>
                    </a:xfrm>
                    <a:prstGeom prst="rect">
                      <a:avLst/>
                    </a:prstGeom>
                    <a:noFill/>
                    <a:ln>
                      <a:noFill/>
                    </a:ln>
                  </pic:spPr>
                </pic:pic>
              </a:graphicData>
            </a:graphic>
          </wp:anchor>
        </w:drawing>
      </w:r>
    </w:p>
    <w:bookmarkEnd w:id="0"/>
    <w:p>
      <w:pPr>
        <w:autoSpaceDE w:val="0"/>
        <w:autoSpaceDN w:val="0"/>
        <w:adjustRightInd w:val="0"/>
        <w:spacing w:line="360" w:lineRule="auto"/>
        <w:ind w:firstLine="423" w:firstLineChars="141"/>
        <w:jc w:val="left"/>
        <w:rPr>
          <w:kern w:val="0"/>
          <w:sz w:val="30"/>
          <w:szCs w:val="30"/>
        </w:rPr>
      </w:pPr>
    </w:p>
    <w:p>
      <w:pPr>
        <w:autoSpaceDE w:val="0"/>
        <w:autoSpaceDN w:val="0"/>
        <w:adjustRightInd w:val="0"/>
        <w:spacing w:line="360" w:lineRule="auto"/>
        <w:jc w:val="center"/>
        <w:rPr>
          <w:kern w:val="0"/>
          <w:sz w:val="30"/>
          <w:szCs w:val="30"/>
        </w:rPr>
      </w:pPr>
    </w:p>
    <w:p>
      <w:pPr>
        <w:autoSpaceDE w:val="0"/>
        <w:autoSpaceDN w:val="0"/>
        <w:adjustRightInd w:val="0"/>
        <w:spacing w:line="360" w:lineRule="auto"/>
        <w:jc w:val="center"/>
        <w:rPr>
          <w:kern w:val="0"/>
          <w:sz w:val="30"/>
          <w:szCs w:val="30"/>
        </w:rPr>
      </w:pPr>
    </w:p>
    <w:p>
      <w:pPr>
        <w:autoSpaceDE w:val="0"/>
        <w:autoSpaceDN w:val="0"/>
        <w:adjustRightInd w:val="0"/>
        <w:spacing w:line="360" w:lineRule="auto"/>
        <w:jc w:val="center"/>
        <w:rPr>
          <w:kern w:val="0"/>
          <w:sz w:val="30"/>
          <w:szCs w:val="30"/>
        </w:rPr>
      </w:pPr>
    </w:p>
    <w:p>
      <w:pPr>
        <w:autoSpaceDE w:val="0"/>
        <w:autoSpaceDN w:val="0"/>
        <w:adjustRightInd w:val="0"/>
        <w:spacing w:line="360" w:lineRule="auto"/>
        <w:jc w:val="center"/>
        <w:rPr>
          <w:kern w:val="0"/>
          <w:sz w:val="30"/>
          <w:szCs w:val="30"/>
        </w:rPr>
      </w:pPr>
    </w:p>
    <w:p>
      <w:pPr>
        <w:autoSpaceDE w:val="0"/>
        <w:autoSpaceDN w:val="0"/>
        <w:adjustRightInd w:val="0"/>
        <w:spacing w:line="360" w:lineRule="auto"/>
        <w:jc w:val="center"/>
        <w:rPr>
          <w:kern w:val="0"/>
          <w:sz w:val="30"/>
          <w:szCs w:val="30"/>
        </w:rPr>
      </w:pPr>
    </w:p>
    <w:p>
      <w:pPr>
        <w:autoSpaceDE w:val="0"/>
        <w:autoSpaceDN w:val="0"/>
        <w:adjustRightInd w:val="0"/>
        <w:spacing w:line="360" w:lineRule="auto"/>
        <w:jc w:val="center"/>
        <w:rPr>
          <w:kern w:val="0"/>
          <w:sz w:val="30"/>
          <w:szCs w:val="30"/>
        </w:rPr>
      </w:pPr>
    </w:p>
    <w:p>
      <w:pPr>
        <w:autoSpaceDE w:val="0"/>
        <w:autoSpaceDN w:val="0"/>
        <w:adjustRightInd w:val="0"/>
        <w:spacing w:line="360" w:lineRule="auto"/>
        <w:jc w:val="center"/>
        <w:rPr>
          <w:kern w:val="0"/>
          <w:sz w:val="30"/>
          <w:szCs w:val="30"/>
        </w:rPr>
      </w:pPr>
    </w:p>
    <w:p>
      <w:pPr>
        <w:autoSpaceDE w:val="0"/>
        <w:autoSpaceDN w:val="0"/>
        <w:adjustRightInd w:val="0"/>
        <w:spacing w:line="360" w:lineRule="auto"/>
        <w:rPr>
          <w:kern w:val="0"/>
          <w:szCs w:val="21"/>
        </w:rPr>
        <w:sectPr>
          <w:pgSz w:w="11906" w:h="16838"/>
          <w:pgMar w:top="1701" w:right="1418" w:bottom="1701" w:left="1418" w:header="851" w:footer="992" w:gutter="0"/>
          <w:cols w:space="720" w:num="1"/>
          <w:docGrid w:linePitch="312" w:charSpace="0"/>
        </w:sectPr>
      </w:pPr>
    </w:p>
    <w:p>
      <w:pPr>
        <w:pStyle w:val="47"/>
        <w:topLinePunct/>
        <w:adjustRightInd w:val="0"/>
        <w:spacing w:before="0" w:after="0" w:line="240" w:lineRule="auto"/>
        <w:rPr>
          <w:rFonts w:eastAsia="仿宋_GB2312"/>
          <w:bCs w:val="0"/>
          <w:szCs w:val="36"/>
        </w:rPr>
      </w:pPr>
      <w:bookmarkStart w:id="1" w:name="_Toc83297964"/>
      <w:bookmarkStart w:id="2" w:name="_Toc83297507"/>
      <w:bookmarkStart w:id="3" w:name="_Toc134801906"/>
      <w:bookmarkStart w:id="4" w:name="_Toc81389109"/>
      <w:r>
        <w:rPr>
          <w:rFonts w:eastAsia="仿宋_GB2312"/>
          <w:bCs w:val="0"/>
          <w:szCs w:val="36"/>
        </w:rPr>
        <w:t>目 录</w:t>
      </w:r>
      <w:bookmarkEnd w:id="1"/>
      <w:bookmarkEnd w:id="2"/>
      <w:bookmarkEnd w:id="3"/>
      <w:bookmarkEnd w:id="4"/>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rPr>
          <w:rFonts w:ascii="Times New Roman" w:eastAsia="仿宋_GB2312"/>
          <w:bCs w:val="0"/>
          <w:caps w:val="0"/>
          <w:sz w:val="28"/>
          <w:szCs w:val="28"/>
        </w:rPr>
        <w:fldChar w:fldCharType="begin"/>
      </w:r>
      <w:r>
        <w:rPr>
          <w:rFonts w:ascii="Times New Roman" w:eastAsia="仿宋_GB2312"/>
          <w:bCs w:val="0"/>
          <w:caps w:val="0"/>
          <w:sz w:val="28"/>
          <w:szCs w:val="28"/>
        </w:rPr>
        <w:instrText xml:space="preserve"> TOC \o "1-2" \h \z \u </w:instrText>
      </w:r>
      <w:r>
        <w:rPr>
          <w:rFonts w:ascii="Times New Roman" w:eastAsia="仿宋_GB2312"/>
          <w:bCs w:val="0"/>
          <w:caps w:val="0"/>
          <w:sz w:val="28"/>
          <w:szCs w:val="28"/>
        </w:rPr>
        <w:fldChar w:fldCharType="separate"/>
      </w:r>
      <w:r>
        <w:fldChar w:fldCharType="begin"/>
      </w:r>
      <w:r>
        <w:instrText xml:space="preserve"> HYPERLINK \l "_Toc134801906" </w:instrText>
      </w:r>
      <w:r>
        <w:fldChar w:fldCharType="separate"/>
      </w:r>
      <w:r>
        <w:rPr>
          <w:rStyle w:val="28"/>
          <w:rFonts w:ascii="Times New Roman" w:eastAsia="仿宋_GB2312"/>
        </w:rPr>
        <w:t>目 录</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_Toc134801906 \h </w:instrText>
      </w:r>
      <w:r>
        <w:rPr>
          <w:rFonts w:ascii="Times New Roman" w:eastAsia="仿宋_GB2312"/>
        </w:rPr>
        <w:fldChar w:fldCharType="separate"/>
      </w:r>
      <w:r>
        <w:rPr>
          <w:rFonts w:ascii="Times New Roman" w:eastAsia="仿宋_GB2312"/>
        </w:rPr>
        <w:t>i</w:t>
      </w:r>
      <w:r>
        <w:rPr>
          <w:rFonts w:ascii="Times New Roman" w:eastAsia="仿宋_GB2312"/>
        </w:rPr>
        <w:fldChar w:fldCharType="end"/>
      </w:r>
      <w:r>
        <w:rPr>
          <w:rFonts w:ascii="Times New Roman" w:eastAsia="仿宋_GB2312"/>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"_Toc134801907" </w:instrText>
      </w:r>
      <w:r>
        <w:fldChar w:fldCharType="separate"/>
      </w:r>
      <w:r>
        <w:rPr>
          <w:rStyle w:val="28"/>
          <w:rFonts w:ascii="Times New Roman" w:eastAsia="仿宋_GB2312"/>
        </w:rPr>
        <w:t>前 言</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_Toc134801907 \h </w:instrText>
      </w:r>
      <w:r>
        <w:rPr>
          <w:rFonts w:ascii="Times New Roman" w:eastAsia="仿宋_GB2312"/>
        </w:rPr>
        <w:fldChar w:fldCharType="separate"/>
      </w:r>
      <w:r>
        <w:rPr>
          <w:rFonts w:ascii="Times New Roman" w:eastAsia="仿宋_GB2312"/>
        </w:rPr>
        <w:t>1</w:t>
      </w:r>
      <w:r>
        <w:rPr>
          <w:rFonts w:ascii="Times New Roman" w:eastAsia="仿宋_GB2312"/>
        </w:rPr>
        <w:fldChar w:fldCharType="end"/>
      </w:r>
      <w:r>
        <w:rPr>
          <w:rFonts w:ascii="Times New Roman" w:eastAsia="仿宋_GB2312"/>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"_Toc134801908" </w:instrText>
      </w:r>
      <w:r>
        <w:fldChar w:fldCharType="separate"/>
      </w:r>
      <w:r>
        <w:rPr>
          <w:rStyle w:val="28"/>
          <w:rFonts w:ascii="Times New Roman" w:eastAsia="仿宋_GB2312"/>
        </w:rPr>
        <w:t>1 建设项目及水土保持工作概况</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_Toc134801908 \h </w:instrText>
      </w:r>
      <w:r>
        <w:rPr>
          <w:rFonts w:ascii="Times New Roman" w:eastAsia="仿宋_GB2312"/>
        </w:rPr>
        <w:fldChar w:fldCharType="separate"/>
      </w:r>
      <w:r>
        <w:rPr>
          <w:rFonts w:ascii="Times New Roman" w:eastAsia="仿宋_GB2312"/>
        </w:rPr>
        <w:t>3</w:t>
      </w:r>
      <w:r>
        <w:rPr>
          <w:rFonts w:ascii="Times New Roman" w:eastAsia="仿宋_GB2312"/>
        </w:rPr>
        <w:fldChar w:fldCharType="end"/>
      </w:r>
      <w:r>
        <w:rPr>
          <w:rFonts w:ascii="Times New Roman" w:eastAsia="仿宋_GB2312"/>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"_Toc134801909" </w:instrText>
      </w:r>
      <w:r>
        <w:fldChar w:fldCharType="separate"/>
      </w:r>
      <w:r>
        <w:rPr>
          <w:rStyle w:val="28"/>
          <w:rFonts w:ascii="Times New Roman" w:eastAsia="仿宋_GB2312"/>
          <w:b w:val="0"/>
          <w:bCs w:val="0"/>
        </w:rPr>
        <w:t>1.1 项目概况</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_Toc134801909 \h </w:instrText>
      </w:r>
      <w:r>
        <w:rPr>
          <w:rFonts w:ascii="Times New Roman" w:eastAsia="仿宋_GB2312"/>
          <w:b w:val="0"/>
          <w:bCs w:val="0"/>
        </w:rPr>
        <w:fldChar w:fldCharType="separate"/>
      </w:r>
      <w:r>
        <w:rPr>
          <w:rFonts w:ascii="Times New Roman" w:eastAsia="仿宋_GB2312"/>
          <w:b w:val="0"/>
          <w:bCs w:val="0"/>
        </w:rPr>
        <w:t>3</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"_Toc134801910" </w:instrText>
      </w:r>
      <w:r>
        <w:fldChar w:fldCharType="separate"/>
      </w:r>
      <w:r>
        <w:rPr>
          <w:rStyle w:val="28"/>
          <w:rFonts w:ascii="Times New Roman" w:eastAsia="仿宋_GB2312"/>
          <w:b w:val="0"/>
          <w:bCs w:val="0"/>
        </w:rPr>
        <w:t>1.2 水土流失防治工作概况</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_Toc134801910 \h </w:instrText>
      </w:r>
      <w:r>
        <w:rPr>
          <w:rFonts w:ascii="Times New Roman" w:eastAsia="仿宋_GB2312"/>
          <w:b w:val="0"/>
          <w:bCs w:val="0"/>
        </w:rPr>
        <w:fldChar w:fldCharType="separate"/>
      </w:r>
      <w:r>
        <w:rPr>
          <w:rFonts w:ascii="Times New Roman" w:eastAsia="仿宋_GB2312"/>
          <w:b w:val="0"/>
          <w:bCs w:val="0"/>
        </w:rPr>
        <w:t>7</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"_Toc134801911" </w:instrText>
      </w:r>
      <w:r>
        <w:fldChar w:fldCharType="separate"/>
      </w:r>
      <w:r>
        <w:rPr>
          <w:rStyle w:val="28"/>
          <w:rFonts w:ascii="Times New Roman" w:eastAsia="仿宋_GB2312"/>
          <w:b w:val="0"/>
          <w:bCs w:val="0"/>
        </w:rPr>
        <w:t>1.3 监测工作实施情况</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_Toc134801911 \h </w:instrText>
      </w:r>
      <w:r>
        <w:rPr>
          <w:rFonts w:ascii="Times New Roman" w:eastAsia="仿宋_GB2312"/>
          <w:b w:val="0"/>
          <w:bCs w:val="0"/>
        </w:rPr>
        <w:fldChar w:fldCharType="separate"/>
      </w:r>
      <w:r>
        <w:rPr>
          <w:rFonts w:ascii="Times New Roman" w:eastAsia="仿宋_GB2312"/>
          <w:b w:val="0"/>
          <w:bCs w:val="0"/>
        </w:rPr>
        <w:t>9</w:t>
      </w:r>
      <w:r>
        <w:rPr>
          <w:rFonts w:ascii="Times New Roman" w:eastAsia="仿宋_GB2312"/>
          <w:b w:val="0"/>
          <w:bCs w:val="0"/>
        </w:rPr>
        <w:fldChar w:fldCharType="end"/>
      </w:r>
      <w:r>
        <w:rPr>
          <w:rFonts w:ascii="Times New Roman" w:eastAsia="仿宋_GB2312"/>
          <w:b w:val="0"/>
          <w:bCs w:val="0"/>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"_Toc134801912" </w:instrText>
      </w:r>
      <w:r>
        <w:fldChar w:fldCharType="separate"/>
      </w:r>
      <w:r>
        <w:rPr>
          <w:rStyle w:val="28"/>
          <w:rFonts w:ascii="Times New Roman" w:eastAsia="仿宋_GB2312"/>
        </w:rPr>
        <w:t>2 监测内容与方法</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_Toc134801912 \h </w:instrText>
      </w:r>
      <w:r>
        <w:rPr>
          <w:rFonts w:ascii="Times New Roman" w:eastAsia="仿宋_GB2312"/>
        </w:rPr>
        <w:fldChar w:fldCharType="separate"/>
      </w:r>
      <w:r>
        <w:rPr>
          <w:rFonts w:ascii="Times New Roman" w:eastAsia="仿宋_GB2312"/>
        </w:rPr>
        <w:t>10</w:t>
      </w:r>
      <w:r>
        <w:rPr>
          <w:rFonts w:ascii="Times New Roman" w:eastAsia="仿宋_GB2312"/>
        </w:rPr>
        <w:fldChar w:fldCharType="end"/>
      </w:r>
      <w:r>
        <w:rPr>
          <w:rFonts w:ascii="Times New Roman" w:eastAsia="仿宋_GB2312"/>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"_Toc134801913" </w:instrText>
      </w:r>
      <w:r>
        <w:fldChar w:fldCharType="separate"/>
      </w:r>
      <w:r>
        <w:rPr>
          <w:rStyle w:val="28"/>
          <w:rFonts w:ascii="Times New Roman" w:eastAsia="仿宋_GB2312"/>
          <w:b w:val="0"/>
          <w:bCs w:val="0"/>
        </w:rPr>
        <w:t>2.1 扰动土地情况</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_Toc134801913 \h </w:instrText>
      </w:r>
      <w:r>
        <w:rPr>
          <w:rFonts w:ascii="Times New Roman" w:eastAsia="仿宋_GB2312"/>
          <w:b w:val="0"/>
          <w:bCs w:val="0"/>
        </w:rPr>
        <w:fldChar w:fldCharType="separate"/>
      </w:r>
      <w:r>
        <w:rPr>
          <w:rFonts w:ascii="Times New Roman" w:eastAsia="仿宋_GB2312"/>
          <w:b w:val="0"/>
          <w:bCs w:val="0"/>
        </w:rPr>
        <w:t>10</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"_Toc134801914" </w:instrText>
      </w:r>
      <w:r>
        <w:fldChar w:fldCharType="separate"/>
      </w:r>
      <w:r>
        <w:rPr>
          <w:rStyle w:val="28"/>
          <w:rFonts w:ascii="Times New Roman" w:eastAsia="仿宋_GB2312"/>
          <w:b w:val="0"/>
          <w:bCs w:val="0"/>
        </w:rPr>
        <w:t>2.2 取土（石、料）弃土（石、渣）情况</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_Toc134801914 \h </w:instrText>
      </w:r>
      <w:r>
        <w:rPr>
          <w:rFonts w:ascii="Times New Roman" w:eastAsia="仿宋_GB2312"/>
          <w:b w:val="0"/>
          <w:bCs w:val="0"/>
        </w:rPr>
        <w:fldChar w:fldCharType="separate"/>
      </w:r>
      <w:r>
        <w:rPr>
          <w:rFonts w:ascii="Times New Roman" w:eastAsia="仿宋_GB2312"/>
          <w:b w:val="0"/>
          <w:bCs w:val="0"/>
        </w:rPr>
        <w:t>10</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"_Toc134801915" </w:instrText>
      </w:r>
      <w:r>
        <w:fldChar w:fldCharType="separate"/>
      </w:r>
      <w:r>
        <w:rPr>
          <w:rStyle w:val="28"/>
          <w:rFonts w:ascii="Times New Roman" w:eastAsia="仿宋_GB2312"/>
          <w:b w:val="0"/>
          <w:bCs w:val="0"/>
        </w:rPr>
        <w:t>2.3 水土流失情况监测</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_Toc134801915 \h </w:instrText>
      </w:r>
      <w:r>
        <w:rPr>
          <w:rFonts w:ascii="Times New Roman" w:eastAsia="仿宋_GB2312"/>
          <w:b w:val="0"/>
          <w:bCs w:val="0"/>
        </w:rPr>
        <w:fldChar w:fldCharType="separate"/>
      </w:r>
      <w:r>
        <w:rPr>
          <w:rFonts w:ascii="Times New Roman" w:eastAsia="仿宋_GB2312"/>
          <w:b w:val="0"/>
          <w:bCs w:val="0"/>
        </w:rPr>
        <w:t>10</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"_Toc134801916" </w:instrText>
      </w:r>
      <w:r>
        <w:fldChar w:fldCharType="separate"/>
      </w:r>
      <w:r>
        <w:rPr>
          <w:rStyle w:val="28"/>
          <w:rFonts w:ascii="Times New Roman" w:eastAsia="仿宋_GB2312"/>
          <w:b w:val="0"/>
          <w:bCs w:val="0"/>
        </w:rPr>
        <w:t>2.4 水土保持措施</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_Toc134801916 \h </w:instrText>
      </w:r>
      <w:r>
        <w:rPr>
          <w:rFonts w:ascii="Times New Roman" w:eastAsia="仿宋_GB2312"/>
          <w:b w:val="0"/>
          <w:bCs w:val="0"/>
        </w:rPr>
        <w:fldChar w:fldCharType="separate"/>
      </w:r>
      <w:r>
        <w:rPr>
          <w:rFonts w:ascii="Times New Roman" w:eastAsia="仿宋_GB2312"/>
          <w:b w:val="0"/>
          <w:bCs w:val="0"/>
        </w:rPr>
        <w:t>10</w:t>
      </w:r>
      <w:r>
        <w:rPr>
          <w:rFonts w:ascii="Times New Roman" w:eastAsia="仿宋_GB2312"/>
          <w:b w:val="0"/>
          <w:bCs w:val="0"/>
        </w:rPr>
        <w:fldChar w:fldCharType="end"/>
      </w:r>
      <w:r>
        <w:rPr>
          <w:rFonts w:ascii="Times New Roman" w:eastAsia="仿宋_GB2312"/>
          <w:b w:val="0"/>
          <w:bCs w:val="0"/>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"_Toc134801917" </w:instrText>
      </w:r>
      <w:r>
        <w:fldChar w:fldCharType="separate"/>
      </w:r>
      <w:r>
        <w:rPr>
          <w:rStyle w:val="28"/>
          <w:rFonts w:ascii="Times New Roman" w:eastAsia="仿宋_GB2312"/>
        </w:rPr>
        <w:t>3 重点部位水土流失动态监测</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_Toc134801917 \h </w:instrText>
      </w:r>
      <w:r>
        <w:rPr>
          <w:rFonts w:ascii="Times New Roman" w:eastAsia="仿宋_GB2312"/>
        </w:rPr>
        <w:fldChar w:fldCharType="separate"/>
      </w:r>
      <w:r>
        <w:rPr>
          <w:rFonts w:ascii="Times New Roman" w:eastAsia="仿宋_GB2312"/>
        </w:rPr>
        <w:t>12</w:t>
      </w:r>
      <w:r>
        <w:rPr>
          <w:rFonts w:ascii="Times New Roman" w:eastAsia="仿宋_GB2312"/>
        </w:rPr>
        <w:fldChar w:fldCharType="end"/>
      </w:r>
      <w:r>
        <w:rPr>
          <w:rFonts w:ascii="Times New Roman" w:eastAsia="仿宋_GB2312"/>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"_Toc134801918" </w:instrText>
      </w:r>
      <w:r>
        <w:fldChar w:fldCharType="separate"/>
      </w:r>
      <w:r>
        <w:rPr>
          <w:rStyle w:val="28"/>
          <w:rFonts w:ascii="Times New Roman" w:eastAsia="仿宋_GB2312"/>
          <w:b w:val="0"/>
          <w:bCs w:val="0"/>
        </w:rPr>
        <w:t>3.1 防治责任范围监测</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_Toc134801918 \h </w:instrText>
      </w:r>
      <w:r>
        <w:rPr>
          <w:rFonts w:ascii="Times New Roman" w:eastAsia="仿宋_GB2312"/>
          <w:b w:val="0"/>
          <w:bCs w:val="0"/>
        </w:rPr>
        <w:fldChar w:fldCharType="separate"/>
      </w:r>
      <w:r>
        <w:rPr>
          <w:rFonts w:ascii="Times New Roman" w:eastAsia="仿宋_GB2312"/>
          <w:b w:val="0"/>
          <w:bCs w:val="0"/>
        </w:rPr>
        <w:t>12</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"_Toc134801919" </w:instrText>
      </w:r>
      <w:r>
        <w:fldChar w:fldCharType="separate"/>
      </w:r>
      <w:r>
        <w:rPr>
          <w:rStyle w:val="28"/>
          <w:rFonts w:ascii="Times New Roman" w:eastAsia="仿宋_GB2312"/>
          <w:b w:val="0"/>
          <w:bCs w:val="0"/>
        </w:rPr>
        <w:t>3.2 取料监测结果</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_Toc134801919 \h </w:instrText>
      </w:r>
      <w:r>
        <w:rPr>
          <w:rFonts w:ascii="Times New Roman" w:eastAsia="仿宋_GB2312"/>
          <w:b w:val="0"/>
          <w:bCs w:val="0"/>
        </w:rPr>
        <w:fldChar w:fldCharType="separate"/>
      </w:r>
      <w:r>
        <w:rPr>
          <w:rFonts w:ascii="Times New Roman" w:eastAsia="仿宋_GB2312"/>
          <w:b w:val="0"/>
          <w:bCs w:val="0"/>
        </w:rPr>
        <w:t>13</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"_Toc134801920" </w:instrText>
      </w:r>
      <w:r>
        <w:fldChar w:fldCharType="separate"/>
      </w:r>
      <w:r>
        <w:rPr>
          <w:rStyle w:val="28"/>
          <w:rFonts w:ascii="Times New Roman" w:eastAsia="仿宋_GB2312"/>
          <w:b w:val="0"/>
          <w:bCs w:val="0"/>
        </w:rPr>
        <w:t>3.3 弃渣监测结果</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_Toc134801920 \h </w:instrText>
      </w:r>
      <w:r>
        <w:rPr>
          <w:rFonts w:ascii="Times New Roman" w:eastAsia="仿宋_GB2312"/>
          <w:b w:val="0"/>
          <w:bCs w:val="0"/>
        </w:rPr>
        <w:fldChar w:fldCharType="separate"/>
      </w:r>
      <w:r>
        <w:rPr>
          <w:rFonts w:ascii="Times New Roman" w:eastAsia="仿宋_GB2312"/>
          <w:b w:val="0"/>
          <w:bCs w:val="0"/>
        </w:rPr>
        <w:t>13</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"_Toc134801921" </w:instrText>
      </w:r>
      <w:r>
        <w:fldChar w:fldCharType="separate"/>
      </w:r>
      <w:r>
        <w:rPr>
          <w:rStyle w:val="28"/>
          <w:rFonts w:ascii="Times New Roman" w:eastAsia="仿宋_GB2312"/>
          <w:b w:val="0"/>
          <w:bCs w:val="0"/>
        </w:rPr>
        <w:t>3.4 土石方流向情况监测结果</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_Toc134801921 \h </w:instrText>
      </w:r>
      <w:r>
        <w:rPr>
          <w:rFonts w:ascii="Times New Roman" w:eastAsia="仿宋_GB2312"/>
          <w:b w:val="0"/>
          <w:bCs w:val="0"/>
        </w:rPr>
        <w:fldChar w:fldCharType="separate"/>
      </w:r>
      <w:r>
        <w:rPr>
          <w:rFonts w:ascii="Times New Roman" w:eastAsia="仿宋_GB2312"/>
          <w:b w:val="0"/>
          <w:bCs w:val="0"/>
        </w:rPr>
        <w:t>13</w:t>
      </w:r>
      <w:r>
        <w:rPr>
          <w:rFonts w:ascii="Times New Roman" w:eastAsia="仿宋_GB2312"/>
          <w:b w:val="0"/>
          <w:bCs w:val="0"/>
        </w:rPr>
        <w:fldChar w:fldCharType="end"/>
      </w:r>
      <w:r>
        <w:rPr>
          <w:rFonts w:ascii="Times New Roman" w:eastAsia="仿宋_GB2312"/>
          <w:b w:val="0"/>
          <w:bCs w:val="0"/>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"_Toc134801922" </w:instrText>
      </w:r>
      <w:r>
        <w:fldChar w:fldCharType="separate"/>
      </w:r>
      <w:r>
        <w:rPr>
          <w:rStyle w:val="28"/>
          <w:rFonts w:ascii="Times New Roman" w:eastAsia="仿宋_GB2312"/>
        </w:rPr>
        <w:t>4 水土流失防治措施监测结果</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_Toc134801922 \h </w:instrText>
      </w:r>
      <w:r>
        <w:rPr>
          <w:rFonts w:ascii="Times New Roman" w:eastAsia="仿宋_GB2312"/>
        </w:rPr>
        <w:fldChar w:fldCharType="separate"/>
      </w:r>
      <w:r>
        <w:rPr>
          <w:rFonts w:ascii="Times New Roman" w:eastAsia="仿宋_GB2312"/>
        </w:rPr>
        <w:t>14</w:t>
      </w:r>
      <w:r>
        <w:rPr>
          <w:rFonts w:ascii="Times New Roman" w:eastAsia="仿宋_GB2312"/>
        </w:rPr>
        <w:fldChar w:fldCharType="end"/>
      </w:r>
      <w:r>
        <w:rPr>
          <w:rFonts w:ascii="Times New Roman" w:eastAsia="仿宋_GB2312"/>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"_Toc134801923" </w:instrText>
      </w:r>
      <w:r>
        <w:fldChar w:fldCharType="separate"/>
      </w:r>
      <w:r>
        <w:rPr>
          <w:rStyle w:val="28"/>
          <w:rFonts w:ascii="Times New Roman" w:eastAsia="仿宋_GB2312"/>
          <w:b w:val="0"/>
          <w:bCs w:val="0"/>
        </w:rPr>
        <w:t>4.1 工程措施监测结果</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_Toc134801923 \h </w:instrText>
      </w:r>
      <w:r>
        <w:rPr>
          <w:rFonts w:ascii="Times New Roman" w:eastAsia="仿宋_GB2312"/>
          <w:b w:val="0"/>
          <w:bCs w:val="0"/>
        </w:rPr>
        <w:fldChar w:fldCharType="separate"/>
      </w:r>
      <w:r>
        <w:rPr>
          <w:rFonts w:ascii="Times New Roman" w:eastAsia="仿宋_GB2312"/>
          <w:b w:val="0"/>
          <w:bCs w:val="0"/>
        </w:rPr>
        <w:t>14</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"_Toc134801924" </w:instrText>
      </w:r>
      <w:r>
        <w:fldChar w:fldCharType="separate"/>
      </w:r>
      <w:r>
        <w:rPr>
          <w:rStyle w:val="28"/>
          <w:rFonts w:ascii="Times New Roman" w:eastAsia="仿宋_GB2312"/>
          <w:b w:val="0"/>
          <w:bCs w:val="0"/>
        </w:rPr>
        <w:t>4.2 植物措施监测结果</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_Toc134801924 \h </w:instrText>
      </w:r>
      <w:r>
        <w:rPr>
          <w:rFonts w:ascii="Times New Roman" w:eastAsia="仿宋_GB2312"/>
          <w:b w:val="0"/>
          <w:bCs w:val="0"/>
        </w:rPr>
        <w:fldChar w:fldCharType="separate"/>
      </w:r>
      <w:r>
        <w:rPr>
          <w:rFonts w:ascii="Times New Roman" w:eastAsia="仿宋_GB2312"/>
          <w:b w:val="0"/>
          <w:bCs w:val="0"/>
        </w:rPr>
        <w:t>15</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"_Toc134801925" </w:instrText>
      </w:r>
      <w:r>
        <w:fldChar w:fldCharType="separate"/>
      </w:r>
      <w:r>
        <w:rPr>
          <w:rStyle w:val="28"/>
          <w:rFonts w:ascii="Times New Roman" w:eastAsia="仿宋_GB2312"/>
          <w:b w:val="0"/>
          <w:bCs w:val="0"/>
        </w:rPr>
        <w:t>4.3 临时防治措施监测结果</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_Toc134801925 \h </w:instrText>
      </w:r>
      <w:r>
        <w:rPr>
          <w:rFonts w:ascii="Times New Roman" w:eastAsia="仿宋_GB2312"/>
          <w:b w:val="0"/>
          <w:bCs w:val="0"/>
        </w:rPr>
        <w:fldChar w:fldCharType="separate"/>
      </w:r>
      <w:r>
        <w:rPr>
          <w:rFonts w:ascii="Times New Roman" w:eastAsia="仿宋_GB2312"/>
          <w:b w:val="0"/>
          <w:bCs w:val="0"/>
        </w:rPr>
        <w:t>15</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"_Toc134801926" </w:instrText>
      </w:r>
      <w:r>
        <w:fldChar w:fldCharType="separate"/>
      </w:r>
      <w:r>
        <w:rPr>
          <w:rStyle w:val="28"/>
          <w:rFonts w:ascii="Times New Roman" w:eastAsia="仿宋_GB2312"/>
          <w:b w:val="0"/>
          <w:bCs w:val="0"/>
        </w:rPr>
        <w:t>4.4 水土保持措施防治效果</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_Toc134801926 \h </w:instrText>
      </w:r>
      <w:r>
        <w:rPr>
          <w:rFonts w:ascii="Times New Roman" w:eastAsia="仿宋_GB2312"/>
          <w:b w:val="0"/>
          <w:bCs w:val="0"/>
        </w:rPr>
        <w:fldChar w:fldCharType="separate"/>
      </w:r>
      <w:r>
        <w:rPr>
          <w:rFonts w:ascii="Times New Roman" w:eastAsia="仿宋_GB2312"/>
          <w:b w:val="0"/>
          <w:bCs w:val="0"/>
        </w:rPr>
        <w:t>16</w:t>
      </w:r>
      <w:r>
        <w:rPr>
          <w:rFonts w:ascii="Times New Roman" w:eastAsia="仿宋_GB2312"/>
          <w:b w:val="0"/>
          <w:bCs w:val="0"/>
        </w:rPr>
        <w:fldChar w:fldCharType="end"/>
      </w:r>
      <w:r>
        <w:rPr>
          <w:rFonts w:ascii="Times New Roman" w:eastAsia="仿宋_GB2312"/>
          <w:b w:val="0"/>
          <w:bCs w:val="0"/>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"_Toc134801927" </w:instrText>
      </w:r>
      <w:r>
        <w:fldChar w:fldCharType="separate"/>
      </w:r>
      <w:r>
        <w:rPr>
          <w:rStyle w:val="28"/>
          <w:rFonts w:ascii="Times New Roman" w:eastAsia="仿宋_GB2312"/>
        </w:rPr>
        <w:t>5 土壤流失情况监测</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_Toc134801927 \h </w:instrText>
      </w:r>
      <w:r>
        <w:rPr>
          <w:rFonts w:ascii="Times New Roman" w:eastAsia="仿宋_GB2312"/>
        </w:rPr>
        <w:fldChar w:fldCharType="separate"/>
      </w:r>
      <w:r>
        <w:rPr>
          <w:rFonts w:ascii="Times New Roman" w:eastAsia="仿宋_GB2312"/>
        </w:rPr>
        <w:t>18</w:t>
      </w:r>
      <w:r>
        <w:rPr>
          <w:rFonts w:ascii="Times New Roman" w:eastAsia="仿宋_GB2312"/>
        </w:rPr>
        <w:fldChar w:fldCharType="end"/>
      </w:r>
      <w:r>
        <w:rPr>
          <w:rFonts w:ascii="Times New Roman" w:eastAsia="仿宋_GB2312"/>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"_Toc134801928" </w:instrText>
      </w:r>
      <w:r>
        <w:fldChar w:fldCharType="separate"/>
      </w:r>
      <w:r>
        <w:rPr>
          <w:rStyle w:val="28"/>
          <w:rFonts w:ascii="Times New Roman" w:eastAsia="仿宋_GB2312"/>
          <w:b w:val="0"/>
          <w:bCs w:val="0"/>
        </w:rPr>
        <w:t>5.1 水土流失面积</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_Toc134801928 \h </w:instrText>
      </w:r>
      <w:r>
        <w:rPr>
          <w:rFonts w:ascii="Times New Roman" w:eastAsia="仿宋_GB2312"/>
          <w:b w:val="0"/>
          <w:bCs w:val="0"/>
        </w:rPr>
        <w:fldChar w:fldCharType="separate"/>
      </w:r>
      <w:r>
        <w:rPr>
          <w:rFonts w:ascii="Times New Roman" w:eastAsia="仿宋_GB2312"/>
          <w:b w:val="0"/>
          <w:bCs w:val="0"/>
        </w:rPr>
        <w:t>18</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"_Toc134801929" </w:instrText>
      </w:r>
      <w:r>
        <w:fldChar w:fldCharType="separate"/>
      </w:r>
      <w:r>
        <w:rPr>
          <w:rStyle w:val="28"/>
          <w:rFonts w:ascii="Times New Roman" w:eastAsia="仿宋_GB2312"/>
          <w:b w:val="0"/>
          <w:bCs w:val="0"/>
        </w:rPr>
        <w:t>5.2 土壤流失量</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_Toc134801929 \h </w:instrText>
      </w:r>
      <w:r>
        <w:rPr>
          <w:rFonts w:ascii="Times New Roman" w:eastAsia="仿宋_GB2312"/>
          <w:b w:val="0"/>
          <w:bCs w:val="0"/>
        </w:rPr>
        <w:fldChar w:fldCharType="separate"/>
      </w:r>
      <w:r>
        <w:rPr>
          <w:rFonts w:ascii="Times New Roman" w:eastAsia="仿宋_GB2312"/>
          <w:b w:val="0"/>
          <w:bCs w:val="0"/>
        </w:rPr>
        <w:t>18</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"_Toc134801930" </w:instrText>
      </w:r>
      <w:r>
        <w:fldChar w:fldCharType="separate"/>
      </w:r>
      <w:r>
        <w:rPr>
          <w:rStyle w:val="28"/>
          <w:rFonts w:ascii="Times New Roman" w:eastAsia="仿宋_GB2312"/>
          <w:b w:val="0"/>
          <w:bCs w:val="0"/>
        </w:rPr>
        <w:t>5.3 取土（石、料）弃土（石、渣）潜在土壤流失量</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_Toc134801930 \h </w:instrText>
      </w:r>
      <w:r>
        <w:rPr>
          <w:rFonts w:ascii="Times New Roman" w:eastAsia="仿宋_GB2312"/>
          <w:b w:val="0"/>
          <w:bCs w:val="0"/>
        </w:rPr>
        <w:fldChar w:fldCharType="separate"/>
      </w:r>
      <w:r>
        <w:rPr>
          <w:rFonts w:ascii="Times New Roman" w:eastAsia="仿宋_GB2312"/>
          <w:b w:val="0"/>
          <w:bCs w:val="0"/>
        </w:rPr>
        <w:t>18</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"_Toc134801931" </w:instrText>
      </w:r>
      <w:r>
        <w:fldChar w:fldCharType="separate"/>
      </w:r>
      <w:r>
        <w:rPr>
          <w:rStyle w:val="28"/>
          <w:rFonts w:ascii="Times New Roman" w:eastAsia="仿宋_GB2312"/>
          <w:b w:val="0"/>
          <w:bCs w:val="0"/>
        </w:rPr>
        <w:t>5.4 水土流失危害</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_Toc134801931 \h </w:instrText>
      </w:r>
      <w:r>
        <w:rPr>
          <w:rFonts w:ascii="Times New Roman" w:eastAsia="仿宋_GB2312"/>
          <w:b w:val="0"/>
          <w:bCs w:val="0"/>
        </w:rPr>
        <w:fldChar w:fldCharType="separate"/>
      </w:r>
      <w:r>
        <w:rPr>
          <w:rFonts w:ascii="Times New Roman" w:eastAsia="仿宋_GB2312"/>
          <w:b w:val="0"/>
          <w:bCs w:val="0"/>
        </w:rPr>
        <w:t>18</w:t>
      </w:r>
      <w:r>
        <w:rPr>
          <w:rFonts w:ascii="Times New Roman" w:eastAsia="仿宋_GB2312"/>
          <w:b w:val="0"/>
          <w:bCs w:val="0"/>
        </w:rPr>
        <w:fldChar w:fldCharType="end"/>
      </w:r>
      <w:r>
        <w:rPr>
          <w:rFonts w:ascii="Times New Roman" w:eastAsia="仿宋_GB2312"/>
          <w:b w:val="0"/>
          <w:bCs w:val="0"/>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"_Toc134801932" </w:instrText>
      </w:r>
      <w:r>
        <w:fldChar w:fldCharType="separate"/>
      </w:r>
      <w:r>
        <w:rPr>
          <w:rStyle w:val="28"/>
          <w:rFonts w:ascii="Times New Roman" w:eastAsia="仿宋_GB2312"/>
        </w:rPr>
        <w:t>6 水土流失防治效果监测结果</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_Toc134801932 \h </w:instrText>
      </w:r>
      <w:r>
        <w:rPr>
          <w:rFonts w:ascii="Times New Roman" w:eastAsia="仿宋_GB2312"/>
        </w:rPr>
        <w:fldChar w:fldCharType="separate"/>
      </w:r>
      <w:r>
        <w:rPr>
          <w:rFonts w:ascii="Times New Roman" w:eastAsia="仿宋_GB2312"/>
        </w:rPr>
        <w:t>19</w:t>
      </w:r>
      <w:r>
        <w:rPr>
          <w:rFonts w:ascii="Times New Roman" w:eastAsia="仿宋_GB2312"/>
        </w:rPr>
        <w:fldChar w:fldCharType="end"/>
      </w:r>
      <w:r>
        <w:rPr>
          <w:rFonts w:ascii="Times New Roman" w:eastAsia="仿宋_GB2312"/>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"_Toc134801933" </w:instrText>
      </w:r>
      <w:r>
        <w:fldChar w:fldCharType="separate"/>
      </w:r>
      <w:r>
        <w:rPr>
          <w:rStyle w:val="28"/>
          <w:rFonts w:ascii="Times New Roman" w:eastAsia="仿宋_GB2312"/>
          <w:b w:val="0"/>
          <w:bCs w:val="0"/>
        </w:rPr>
        <w:t>6.1 水土流失治理度</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_Toc134801933 \h </w:instrText>
      </w:r>
      <w:r>
        <w:rPr>
          <w:rFonts w:ascii="Times New Roman" w:eastAsia="仿宋_GB2312"/>
          <w:b w:val="0"/>
          <w:bCs w:val="0"/>
        </w:rPr>
        <w:fldChar w:fldCharType="separate"/>
      </w:r>
      <w:r>
        <w:rPr>
          <w:rFonts w:ascii="Times New Roman" w:eastAsia="仿宋_GB2312"/>
          <w:b w:val="0"/>
          <w:bCs w:val="0"/>
        </w:rPr>
        <w:t>19</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"_Toc134801934" </w:instrText>
      </w:r>
      <w:r>
        <w:fldChar w:fldCharType="separate"/>
      </w:r>
      <w:r>
        <w:rPr>
          <w:rStyle w:val="28"/>
          <w:rFonts w:ascii="Times New Roman" w:eastAsia="仿宋_GB2312"/>
          <w:b w:val="0"/>
          <w:bCs w:val="0"/>
        </w:rPr>
        <w:t>6.2 土壤流失控制比</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_Toc134801934 \h </w:instrText>
      </w:r>
      <w:r>
        <w:rPr>
          <w:rFonts w:ascii="Times New Roman" w:eastAsia="仿宋_GB2312"/>
          <w:b w:val="0"/>
          <w:bCs w:val="0"/>
        </w:rPr>
        <w:fldChar w:fldCharType="separate"/>
      </w:r>
      <w:r>
        <w:rPr>
          <w:rFonts w:ascii="Times New Roman" w:eastAsia="仿宋_GB2312"/>
          <w:b w:val="0"/>
          <w:bCs w:val="0"/>
        </w:rPr>
        <w:t>19</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"_Toc134801935" </w:instrText>
      </w:r>
      <w:r>
        <w:fldChar w:fldCharType="separate"/>
      </w:r>
      <w:r>
        <w:rPr>
          <w:rStyle w:val="28"/>
          <w:rFonts w:ascii="Times New Roman" w:eastAsia="仿宋_GB2312"/>
          <w:b w:val="0"/>
          <w:bCs w:val="0"/>
        </w:rPr>
        <w:t>6.3 渣土防护率</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_Toc134801935 \h </w:instrText>
      </w:r>
      <w:r>
        <w:rPr>
          <w:rFonts w:ascii="Times New Roman" w:eastAsia="仿宋_GB2312"/>
          <w:b w:val="0"/>
          <w:bCs w:val="0"/>
        </w:rPr>
        <w:fldChar w:fldCharType="separate"/>
      </w:r>
      <w:r>
        <w:rPr>
          <w:rFonts w:ascii="Times New Roman" w:eastAsia="仿宋_GB2312"/>
          <w:b w:val="0"/>
          <w:bCs w:val="0"/>
        </w:rPr>
        <w:t>19</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"_Toc134801936" </w:instrText>
      </w:r>
      <w:r>
        <w:fldChar w:fldCharType="separate"/>
      </w:r>
      <w:r>
        <w:rPr>
          <w:rStyle w:val="28"/>
          <w:rFonts w:ascii="Times New Roman" w:eastAsia="仿宋_GB2312"/>
          <w:b w:val="0"/>
          <w:bCs w:val="0"/>
        </w:rPr>
        <w:t>6.4 表土保护率</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_Toc134801936 \h </w:instrText>
      </w:r>
      <w:r>
        <w:rPr>
          <w:rFonts w:ascii="Times New Roman" w:eastAsia="仿宋_GB2312"/>
          <w:b w:val="0"/>
          <w:bCs w:val="0"/>
        </w:rPr>
        <w:fldChar w:fldCharType="separate"/>
      </w:r>
      <w:r>
        <w:rPr>
          <w:rFonts w:ascii="Times New Roman" w:eastAsia="仿宋_GB2312"/>
          <w:b w:val="0"/>
          <w:bCs w:val="0"/>
        </w:rPr>
        <w:t>19</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"_Toc134801937" </w:instrText>
      </w:r>
      <w:r>
        <w:fldChar w:fldCharType="separate"/>
      </w:r>
      <w:r>
        <w:rPr>
          <w:rStyle w:val="28"/>
          <w:rFonts w:ascii="Times New Roman" w:eastAsia="仿宋_GB2312"/>
          <w:b w:val="0"/>
          <w:bCs w:val="0"/>
        </w:rPr>
        <w:t>6.5 林草植被恢复率</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_Toc134801937 \h </w:instrText>
      </w:r>
      <w:r>
        <w:rPr>
          <w:rFonts w:ascii="Times New Roman" w:eastAsia="仿宋_GB2312"/>
          <w:b w:val="0"/>
          <w:bCs w:val="0"/>
        </w:rPr>
        <w:fldChar w:fldCharType="separate"/>
      </w:r>
      <w:r>
        <w:rPr>
          <w:rFonts w:ascii="Times New Roman" w:eastAsia="仿宋_GB2312"/>
          <w:b w:val="0"/>
          <w:bCs w:val="0"/>
        </w:rPr>
        <w:t>19</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"_Toc134801938" </w:instrText>
      </w:r>
      <w:r>
        <w:fldChar w:fldCharType="separate"/>
      </w:r>
      <w:r>
        <w:rPr>
          <w:rStyle w:val="28"/>
          <w:rFonts w:ascii="Times New Roman" w:eastAsia="仿宋_GB2312"/>
          <w:b w:val="0"/>
          <w:bCs w:val="0"/>
        </w:rPr>
        <w:t>6.6 林草覆盖率</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_Toc134801938 \h </w:instrText>
      </w:r>
      <w:r>
        <w:rPr>
          <w:rFonts w:ascii="Times New Roman" w:eastAsia="仿宋_GB2312"/>
          <w:b w:val="0"/>
          <w:bCs w:val="0"/>
        </w:rPr>
        <w:fldChar w:fldCharType="separate"/>
      </w:r>
      <w:r>
        <w:rPr>
          <w:rFonts w:ascii="Times New Roman" w:eastAsia="仿宋_GB2312"/>
          <w:b w:val="0"/>
          <w:bCs w:val="0"/>
        </w:rPr>
        <w:t>20</w:t>
      </w:r>
      <w:r>
        <w:rPr>
          <w:rFonts w:ascii="Times New Roman" w:eastAsia="仿宋_GB2312"/>
          <w:b w:val="0"/>
          <w:bCs w:val="0"/>
        </w:rPr>
        <w:fldChar w:fldCharType="end"/>
      </w:r>
      <w:r>
        <w:rPr>
          <w:rFonts w:ascii="Times New Roman" w:eastAsia="仿宋_GB2312"/>
          <w:b w:val="0"/>
          <w:bCs w:val="0"/>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"_Toc134801939" </w:instrText>
      </w:r>
      <w:r>
        <w:fldChar w:fldCharType="separate"/>
      </w:r>
      <w:r>
        <w:rPr>
          <w:rStyle w:val="28"/>
          <w:rFonts w:ascii="Times New Roman" w:eastAsia="仿宋_GB2312"/>
        </w:rPr>
        <w:t>7 结论</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_Toc134801939 \h </w:instrText>
      </w:r>
      <w:r>
        <w:rPr>
          <w:rFonts w:ascii="Times New Roman" w:eastAsia="仿宋_GB2312"/>
        </w:rPr>
        <w:fldChar w:fldCharType="separate"/>
      </w:r>
      <w:r>
        <w:rPr>
          <w:rFonts w:ascii="Times New Roman" w:eastAsia="仿宋_GB2312"/>
        </w:rPr>
        <w:t>21</w:t>
      </w:r>
      <w:r>
        <w:rPr>
          <w:rFonts w:ascii="Times New Roman" w:eastAsia="仿宋_GB2312"/>
        </w:rPr>
        <w:fldChar w:fldCharType="end"/>
      </w:r>
      <w:r>
        <w:rPr>
          <w:rFonts w:ascii="Times New Roman" w:eastAsia="仿宋_GB2312"/>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"_Toc134801940" </w:instrText>
      </w:r>
      <w:r>
        <w:fldChar w:fldCharType="separate"/>
      </w:r>
      <w:r>
        <w:rPr>
          <w:rStyle w:val="28"/>
          <w:rFonts w:ascii="Times New Roman" w:eastAsia="仿宋_GB2312"/>
          <w:b w:val="0"/>
          <w:bCs w:val="0"/>
        </w:rPr>
        <w:t>7.1 水土流失动态变化</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_Toc134801940 \h </w:instrText>
      </w:r>
      <w:r>
        <w:rPr>
          <w:rFonts w:ascii="Times New Roman" w:eastAsia="仿宋_GB2312"/>
          <w:b w:val="0"/>
          <w:bCs w:val="0"/>
        </w:rPr>
        <w:fldChar w:fldCharType="separate"/>
      </w:r>
      <w:r>
        <w:rPr>
          <w:rFonts w:ascii="Times New Roman" w:eastAsia="仿宋_GB2312"/>
          <w:b w:val="0"/>
          <w:bCs w:val="0"/>
        </w:rPr>
        <w:t>21</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"_Toc134801941" </w:instrText>
      </w:r>
      <w:r>
        <w:fldChar w:fldCharType="separate"/>
      </w:r>
      <w:r>
        <w:rPr>
          <w:rStyle w:val="28"/>
          <w:rFonts w:ascii="Times New Roman" w:eastAsia="仿宋_GB2312"/>
          <w:b w:val="0"/>
          <w:bCs w:val="0"/>
        </w:rPr>
        <w:t>7.2 水土保持措施评价</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_Toc134801941 \h </w:instrText>
      </w:r>
      <w:r>
        <w:rPr>
          <w:rFonts w:ascii="Times New Roman" w:eastAsia="仿宋_GB2312"/>
          <w:b w:val="0"/>
          <w:bCs w:val="0"/>
        </w:rPr>
        <w:fldChar w:fldCharType="separate"/>
      </w:r>
      <w:r>
        <w:rPr>
          <w:rFonts w:ascii="Times New Roman" w:eastAsia="仿宋_GB2312"/>
          <w:b w:val="0"/>
          <w:bCs w:val="0"/>
        </w:rPr>
        <w:t>21</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"_Toc134801942" </w:instrText>
      </w:r>
      <w:r>
        <w:fldChar w:fldCharType="separate"/>
      </w:r>
      <w:r>
        <w:rPr>
          <w:rStyle w:val="28"/>
          <w:rFonts w:ascii="Times New Roman" w:eastAsia="仿宋_GB2312"/>
          <w:b w:val="0"/>
          <w:bCs w:val="0"/>
        </w:rPr>
        <w:t>7.3 三色评价结论</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_Toc134801942 \h </w:instrText>
      </w:r>
      <w:r>
        <w:rPr>
          <w:rFonts w:ascii="Times New Roman" w:eastAsia="仿宋_GB2312"/>
          <w:b w:val="0"/>
          <w:bCs w:val="0"/>
        </w:rPr>
        <w:fldChar w:fldCharType="separate"/>
      </w:r>
      <w:r>
        <w:rPr>
          <w:rFonts w:ascii="Times New Roman" w:eastAsia="仿宋_GB2312"/>
          <w:b w:val="0"/>
          <w:bCs w:val="0"/>
        </w:rPr>
        <w:t>21</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"_Toc134801943" </w:instrText>
      </w:r>
      <w:r>
        <w:fldChar w:fldCharType="separate"/>
      </w:r>
      <w:r>
        <w:rPr>
          <w:rStyle w:val="28"/>
          <w:rFonts w:ascii="Times New Roman" w:eastAsia="仿宋_GB2312"/>
          <w:b w:val="0"/>
          <w:bCs w:val="0"/>
        </w:rPr>
        <w:t>7.4 存在问题及建议</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_Toc134801943 \h </w:instrText>
      </w:r>
      <w:r>
        <w:rPr>
          <w:rFonts w:ascii="Times New Roman" w:eastAsia="仿宋_GB2312"/>
          <w:b w:val="0"/>
          <w:bCs w:val="0"/>
        </w:rPr>
        <w:fldChar w:fldCharType="separate"/>
      </w:r>
      <w:r>
        <w:rPr>
          <w:rFonts w:ascii="Times New Roman" w:eastAsia="仿宋_GB2312"/>
          <w:b w:val="0"/>
          <w:bCs w:val="0"/>
        </w:rPr>
        <w:t>22</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"_Toc134801944" </w:instrText>
      </w:r>
      <w:r>
        <w:fldChar w:fldCharType="separate"/>
      </w:r>
      <w:r>
        <w:rPr>
          <w:rStyle w:val="28"/>
          <w:rFonts w:ascii="Times New Roman" w:eastAsia="仿宋_GB2312"/>
          <w:b w:val="0"/>
          <w:bCs w:val="0"/>
        </w:rPr>
        <w:t>7.5 综合结论</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_Toc134801944 \h </w:instrText>
      </w:r>
      <w:r>
        <w:rPr>
          <w:rFonts w:ascii="Times New Roman" w:eastAsia="仿宋_GB2312"/>
          <w:b w:val="0"/>
          <w:bCs w:val="0"/>
        </w:rPr>
        <w:fldChar w:fldCharType="separate"/>
      </w:r>
      <w:r>
        <w:rPr>
          <w:rFonts w:ascii="Times New Roman" w:eastAsia="仿宋_GB2312"/>
          <w:b w:val="0"/>
          <w:bCs w:val="0"/>
        </w:rPr>
        <w:t>22</w:t>
      </w:r>
      <w:r>
        <w:rPr>
          <w:rFonts w:ascii="Times New Roman" w:eastAsia="仿宋_GB2312"/>
          <w:b w:val="0"/>
          <w:bCs w:val="0"/>
        </w:rPr>
        <w:fldChar w:fldCharType="end"/>
      </w:r>
      <w:r>
        <w:rPr>
          <w:rFonts w:ascii="Times New Roman" w:eastAsia="仿宋_GB2312"/>
          <w:b w:val="0"/>
          <w:bCs w:val="0"/>
        </w:rPr>
        <w:fldChar w:fldCharType="end"/>
      </w:r>
    </w:p>
    <w:p>
      <w:pPr>
        <w:pStyle w:val="17"/>
        <w:tabs>
          <w:tab w:val="right" w:leader="dot" w:pos="9060"/>
        </w:tabs>
        <w:adjustRightInd w:val="0"/>
        <w:spacing w:before="0"/>
        <w:rPr>
          <w:rFonts w:ascii="Times New Roman" w:eastAsia="仿宋_GB2312"/>
          <w:b w:val="0"/>
          <w:bCs w:val="0"/>
          <w:caps w:val="0"/>
          <w:sz w:val="21"/>
          <w:szCs w:val="22"/>
          <w14:ligatures w14:val="standardContextual"/>
        </w:rPr>
      </w:pPr>
      <w:r>
        <w:fldChar w:fldCharType="begin"/>
      </w:r>
      <w:r>
        <w:instrText xml:space="preserve"> HYPERLINK \l "_Toc134801945" </w:instrText>
      </w:r>
      <w:r>
        <w:fldChar w:fldCharType="separate"/>
      </w:r>
      <w:r>
        <w:rPr>
          <w:rStyle w:val="28"/>
          <w:rFonts w:ascii="Times New Roman" w:eastAsia="仿宋_GB2312"/>
        </w:rPr>
        <w:t>8 附件及有关资料</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_Toc134801945 \h </w:instrText>
      </w:r>
      <w:r>
        <w:rPr>
          <w:rFonts w:ascii="Times New Roman" w:eastAsia="仿宋_GB2312"/>
        </w:rPr>
        <w:fldChar w:fldCharType="separate"/>
      </w:r>
      <w:r>
        <w:rPr>
          <w:rFonts w:ascii="Times New Roman" w:eastAsia="仿宋_GB2312"/>
        </w:rPr>
        <w:t>23</w:t>
      </w:r>
      <w:r>
        <w:rPr>
          <w:rFonts w:ascii="Times New Roman" w:eastAsia="仿宋_GB2312"/>
        </w:rPr>
        <w:fldChar w:fldCharType="end"/>
      </w:r>
      <w:r>
        <w:rPr>
          <w:rFonts w:ascii="Times New Roman" w:eastAsia="仿宋_GB2312"/>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"_Toc134801946" </w:instrText>
      </w:r>
      <w:r>
        <w:fldChar w:fldCharType="separate"/>
      </w:r>
      <w:r>
        <w:rPr>
          <w:rStyle w:val="28"/>
          <w:rFonts w:ascii="Times New Roman" w:eastAsia="仿宋_GB2312"/>
          <w:b w:val="0"/>
          <w:bCs w:val="0"/>
        </w:rPr>
        <w:t>8.1 附件</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_Toc134801946 \h </w:instrText>
      </w:r>
      <w:r>
        <w:rPr>
          <w:rFonts w:ascii="Times New Roman" w:eastAsia="仿宋_GB2312"/>
          <w:b w:val="0"/>
          <w:bCs w:val="0"/>
        </w:rPr>
        <w:fldChar w:fldCharType="separate"/>
      </w:r>
      <w:r>
        <w:rPr>
          <w:rFonts w:ascii="Times New Roman" w:eastAsia="仿宋_GB2312"/>
          <w:b w:val="0"/>
          <w:bCs w:val="0"/>
        </w:rPr>
        <w:t>23</w:t>
      </w:r>
      <w:r>
        <w:rPr>
          <w:rFonts w:ascii="Times New Roman" w:eastAsia="仿宋_GB2312"/>
          <w:b w:val="0"/>
          <w:bCs w:val="0"/>
        </w:rPr>
        <w:fldChar w:fldCharType="end"/>
      </w:r>
      <w:r>
        <w:rPr>
          <w:rFonts w:ascii="Times New Roman" w:eastAsia="仿宋_GB2312"/>
          <w:b w:val="0"/>
          <w:bCs w:val="0"/>
        </w:rPr>
        <w:fldChar w:fldCharType="end"/>
      </w:r>
    </w:p>
    <w:p>
      <w:pPr>
        <w:pStyle w:val="20"/>
        <w:tabs>
          <w:tab w:val="right" w:leader="dot" w:pos="9060"/>
        </w:tabs>
        <w:adjustRightInd w:val="0"/>
        <w:spacing w:before="0"/>
        <w:rPr>
          <w:rFonts w:ascii="Times New Roman" w:eastAsia="仿宋_GB2312"/>
          <w:b w:val="0"/>
          <w:bCs w:val="0"/>
          <w:sz w:val="21"/>
          <w:szCs w:val="22"/>
          <w14:ligatures w14:val="standardContextual"/>
        </w:rPr>
      </w:pPr>
      <w:r>
        <w:fldChar w:fldCharType="begin"/>
      </w:r>
      <w:r>
        <w:instrText xml:space="preserve"> HYPERLINK \l "_Toc134801947" </w:instrText>
      </w:r>
      <w:r>
        <w:fldChar w:fldCharType="separate"/>
      </w:r>
      <w:r>
        <w:rPr>
          <w:rStyle w:val="28"/>
          <w:rFonts w:ascii="Times New Roman" w:eastAsia="仿宋_GB2312"/>
          <w:b w:val="0"/>
          <w:bCs w:val="0"/>
        </w:rPr>
        <w:t>8.2 附图</w:t>
      </w:r>
      <w:r>
        <w:rPr>
          <w:rFonts w:ascii="Times New Roman" w:eastAsia="仿宋_GB2312"/>
          <w:b w:val="0"/>
          <w:bCs w:val="0"/>
        </w:rPr>
        <w:tab/>
      </w:r>
      <w:r>
        <w:rPr>
          <w:rFonts w:ascii="Times New Roman" w:eastAsia="仿宋_GB2312"/>
          <w:b w:val="0"/>
          <w:bCs w:val="0"/>
        </w:rPr>
        <w:fldChar w:fldCharType="begin"/>
      </w:r>
      <w:r>
        <w:rPr>
          <w:rFonts w:ascii="Times New Roman" w:eastAsia="仿宋_GB2312"/>
          <w:b w:val="0"/>
          <w:bCs w:val="0"/>
        </w:rPr>
        <w:instrText xml:space="preserve"> PAGEREF _Toc134801947 \h </w:instrText>
      </w:r>
      <w:r>
        <w:rPr>
          <w:rFonts w:ascii="Times New Roman" w:eastAsia="仿宋_GB2312"/>
          <w:b w:val="0"/>
          <w:bCs w:val="0"/>
        </w:rPr>
        <w:fldChar w:fldCharType="separate"/>
      </w:r>
      <w:r>
        <w:rPr>
          <w:rFonts w:ascii="Times New Roman" w:eastAsia="仿宋_GB2312"/>
          <w:b w:val="0"/>
          <w:bCs w:val="0"/>
        </w:rPr>
        <w:t>23</w:t>
      </w:r>
      <w:r>
        <w:rPr>
          <w:rFonts w:ascii="Times New Roman" w:eastAsia="仿宋_GB2312"/>
          <w:b w:val="0"/>
          <w:bCs w:val="0"/>
        </w:rPr>
        <w:fldChar w:fldCharType="end"/>
      </w:r>
      <w:r>
        <w:rPr>
          <w:rFonts w:ascii="Times New Roman" w:eastAsia="仿宋_GB2312"/>
          <w:b w:val="0"/>
          <w:bCs w:val="0"/>
        </w:rPr>
        <w:fldChar w:fldCharType="end"/>
      </w:r>
    </w:p>
    <w:p>
      <w:pPr>
        <w:tabs>
          <w:tab w:val="right" w:leader="dot" w:pos="9070"/>
        </w:tabs>
        <w:autoSpaceDE w:val="0"/>
        <w:autoSpaceDN w:val="0"/>
        <w:adjustRightInd w:val="0"/>
        <w:rPr>
          <w:rFonts w:eastAsia="仿宋_GB2312"/>
          <w:color w:val="00B0F0"/>
          <w:kern w:val="0"/>
          <w:sz w:val="28"/>
          <w:szCs w:val="28"/>
        </w:rPr>
        <w:sectPr>
          <w:headerReference r:id="rId3" w:type="default"/>
          <w:footerReference r:id="rId5" w:type="default"/>
          <w:headerReference r:id="rId4" w:type="even"/>
          <w:footerReference r:id="rId6" w:type="even"/>
          <w:pgSz w:w="11906" w:h="16838"/>
          <w:pgMar w:top="1701" w:right="1418" w:bottom="1701" w:left="1418" w:header="851" w:footer="992" w:gutter="0"/>
          <w:pgNumType w:fmt="lowerRoman" w:start="1"/>
          <w:cols w:space="720" w:num="1"/>
          <w:docGrid w:linePitch="312" w:charSpace="0"/>
        </w:sectPr>
      </w:pPr>
      <w:r>
        <w:rPr>
          <w:rFonts w:eastAsia="仿宋_GB2312"/>
          <w:bCs/>
          <w:caps/>
          <w:sz w:val="28"/>
          <w:szCs w:val="28"/>
        </w:rPr>
        <w:fldChar w:fldCharType="end"/>
      </w:r>
    </w:p>
    <w:p>
      <w:pPr>
        <w:pStyle w:val="47"/>
        <w:topLinePunct/>
        <w:adjustRightInd w:val="0"/>
        <w:spacing w:before="0" w:after="0" w:line="360" w:lineRule="auto"/>
        <w:rPr>
          <w:rFonts w:eastAsia="仿宋_GB2312"/>
          <w:szCs w:val="36"/>
        </w:rPr>
      </w:pPr>
      <w:bookmarkStart w:id="5" w:name="_Toc134801907"/>
      <w:bookmarkStart w:id="6" w:name="_Toc132873938"/>
      <w:r>
        <w:rPr>
          <w:rFonts w:eastAsia="仿宋_GB2312"/>
          <w:szCs w:val="36"/>
        </w:rPr>
        <w:t>前 言</w:t>
      </w:r>
      <w:bookmarkEnd w:id="5"/>
      <w:bookmarkEnd w:id="6"/>
    </w:p>
    <w:p>
      <w:pPr>
        <w:topLinePunct/>
        <w:adjustRightInd w:val="0"/>
        <w:snapToGrid w:val="0"/>
        <w:spacing w:line="360" w:lineRule="auto"/>
        <w:ind w:firstLine="480" w:firstLineChars="200"/>
        <w:rPr>
          <w:rFonts w:eastAsia="仿宋_GB2312"/>
          <w:sz w:val="24"/>
          <w:szCs w:val="28"/>
        </w:rPr>
      </w:pPr>
      <w:r>
        <w:rPr>
          <w:rFonts w:hint="eastAsia" w:eastAsia="仿宋_GB2312"/>
          <w:sz w:val="24"/>
          <w:szCs w:val="28"/>
        </w:rPr>
        <w:t>通江新城B02-42-3地块中学工程位于重庆市南岸区茶园B标准分区，其位于长江以南，此项目的建设符合重庆市经开区的城市总体发展规划要求，是《重庆市人民政府关于高质量创建广阳湾智创生态城的意见》（渝府〔2022〕5号）中“支持学前教育、中小学教育、国际学校、高等院校高质量办学”分工任务之一，与该板块周边发展程度相适应，符合片区教育规划，可解决周边小区教育问题，促进区域协调发展</w:t>
      </w:r>
      <w:r>
        <w:rPr>
          <w:rFonts w:eastAsia="仿宋_GB2312"/>
          <w:sz w:val="24"/>
          <w:szCs w:val="28"/>
        </w:rPr>
        <w:t>。</w:t>
      </w:r>
    </w:p>
    <w:p>
      <w:pPr>
        <w:adjustRightInd w:val="0"/>
        <w:spacing w:line="360" w:lineRule="auto"/>
        <w:ind w:firstLine="480" w:firstLineChars="200"/>
        <w:rPr>
          <w:rFonts w:eastAsia="仿宋_GB2312"/>
          <w:sz w:val="24"/>
          <w:szCs w:val="28"/>
        </w:rPr>
      </w:pPr>
      <w:r>
        <w:rPr>
          <w:rFonts w:eastAsia="仿宋_GB2312"/>
          <w:sz w:val="24"/>
          <w:szCs w:val="28"/>
        </w:rPr>
        <w:t>2021年08月19日</w:t>
      </w:r>
      <w:r>
        <w:rPr>
          <w:rFonts w:eastAsia="仿宋_GB2312"/>
          <w:sz w:val="24"/>
        </w:rPr>
        <w:t>，</w:t>
      </w:r>
      <w:r>
        <w:rPr>
          <w:rFonts w:eastAsia="仿宋_GB2312"/>
          <w:sz w:val="24"/>
          <w:szCs w:val="28"/>
        </w:rPr>
        <w:t>重庆</w:t>
      </w:r>
      <w:r>
        <w:rPr>
          <w:rFonts w:hint="eastAsia" w:eastAsia="仿宋_GB2312"/>
          <w:sz w:val="24"/>
          <w:szCs w:val="28"/>
        </w:rPr>
        <w:t>经开区改革发展和科技局以</w:t>
      </w:r>
      <w:r>
        <w:rPr>
          <w:rFonts w:eastAsia="仿宋_GB2312"/>
          <w:sz w:val="24"/>
          <w:szCs w:val="28"/>
        </w:rPr>
        <w:t>“</w:t>
      </w:r>
      <w:r>
        <w:rPr>
          <w:rFonts w:hint="eastAsia" w:eastAsia="仿宋_GB2312"/>
          <w:sz w:val="24"/>
          <w:szCs w:val="28"/>
        </w:rPr>
        <w:t>渝经开改发科技发</w:t>
      </w:r>
      <w:r>
        <w:rPr>
          <w:rFonts w:eastAsia="仿宋_GB2312"/>
          <w:sz w:val="24"/>
          <w:szCs w:val="28"/>
        </w:rPr>
        <w:t>〔2021〕25号”文下达了《关于</w:t>
      </w:r>
      <w:r>
        <w:rPr>
          <w:rFonts w:hint="eastAsia" w:eastAsia="仿宋_GB2312"/>
          <w:sz w:val="24"/>
          <w:szCs w:val="28"/>
        </w:rPr>
        <w:t>变更</w:t>
      </w:r>
      <w:r>
        <w:rPr>
          <w:rFonts w:eastAsia="仿宋_GB2312"/>
          <w:sz w:val="24"/>
          <w:szCs w:val="28"/>
        </w:rPr>
        <w:t>通江新城B02-42-3地块中学工程立项的批复</w:t>
      </w:r>
      <w:r>
        <w:rPr>
          <w:rFonts w:hint="eastAsia" w:eastAsia="仿宋_GB2312"/>
          <w:sz w:val="24"/>
          <w:szCs w:val="28"/>
        </w:rPr>
        <w:t>》</w:t>
      </w:r>
      <w:r>
        <w:rPr>
          <w:rFonts w:eastAsia="仿宋_GB2312"/>
          <w:sz w:val="24"/>
          <w:szCs w:val="28"/>
        </w:rPr>
        <w:t>；2021年11月17日，重庆市</w:t>
      </w:r>
      <w:r>
        <w:rPr>
          <w:rFonts w:hint="eastAsia" w:eastAsia="仿宋_GB2312"/>
          <w:sz w:val="24"/>
          <w:szCs w:val="28"/>
        </w:rPr>
        <w:t>南岸区规划和自然资源局</w:t>
      </w:r>
      <w:r>
        <w:rPr>
          <w:rFonts w:eastAsia="仿宋_GB2312"/>
          <w:sz w:val="24"/>
          <w:szCs w:val="28"/>
        </w:rPr>
        <w:t>以</w:t>
      </w:r>
      <w:r>
        <w:rPr>
          <w:rFonts w:hint="eastAsia" w:eastAsia="仿宋_GB2312"/>
          <w:sz w:val="24"/>
          <w:szCs w:val="28"/>
        </w:rPr>
        <w:t>“用字第5</w:t>
      </w:r>
      <w:r>
        <w:rPr>
          <w:rFonts w:eastAsia="仿宋_GB2312"/>
          <w:sz w:val="24"/>
          <w:szCs w:val="28"/>
        </w:rPr>
        <w:t>00108202100009号</w:t>
      </w:r>
      <w:r>
        <w:rPr>
          <w:rFonts w:hint="eastAsia" w:eastAsia="仿宋_GB2312"/>
          <w:sz w:val="24"/>
          <w:szCs w:val="28"/>
        </w:rPr>
        <w:t>”</w:t>
      </w:r>
      <w:r>
        <w:rPr>
          <w:rFonts w:eastAsia="仿宋_GB2312"/>
          <w:sz w:val="24"/>
        </w:rPr>
        <w:t>为</w:t>
      </w:r>
      <w:r>
        <w:rPr>
          <w:rFonts w:eastAsia="仿宋_GB2312"/>
          <w:sz w:val="24"/>
          <w:szCs w:val="28"/>
        </w:rPr>
        <w:t>通江新城B02-42-3地块中学工程</w:t>
      </w:r>
      <w:r>
        <w:rPr>
          <w:rFonts w:eastAsia="仿宋_GB2312"/>
          <w:sz w:val="24"/>
        </w:rPr>
        <w:t>颁发了</w:t>
      </w:r>
      <w:r>
        <w:rPr>
          <w:rFonts w:hint="eastAsia" w:eastAsia="仿宋_GB2312"/>
          <w:sz w:val="24"/>
          <w:szCs w:val="28"/>
        </w:rPr>
        <w:t>建设项目用地预审与选址意见书</w:t>
      </w:r>
      <w:r>
        <w:rPr>
          <w:rFonts w:eastAsia="仿宋_GB2312"/>
          <w:sz w:val="24"/>
          <w:szCs w:val="28"/>
        </w:rPr>
        <w:t>；</w:t>
      </w:r>
      <w:r>
        <w:rPr>
          <w:rFonts w:hint="eastAsia" w:eastAsia="仿宋_GB2312"/>
          <w:sz w:val="24"/>
          <w:szCs w:val="28"/>
        </w:rPr>
        <w:t>2</w:t>
      </w:r>
      <w:r>
        <w:rPr>
          <w:rFonts w:eastAsia="仿宋_GB2312"/>
          <w:sz w:val="24"/>
          <w:szCs w:val="28"/>
        </w:rPr>
        <w:t>022</w:t>
      </w:r>
      <w:r>
        <w:rPr>
          <w:rFonts w:hint="eastAsia" w:eastAsia="仿宋_GB2312"/>
          <w:sz w:val="24"/>
          <w:szCs w:val="28"/>
        </w:rPr>
        <w:t>年5月2</w:t>
      </w:r>
      <w:r>
        <w:rPr>
          <w:rFonts w:eastAsia="仿宋_GB2312"/>
          <w:sz w:val="24"/>
          <w:szCs w:val="28"/>
        </w:rPr>
        <w:t>6</w:t>
      </w:r>
      <w:r>
        <w:rPr>
          <w:rFonts w:hint="eastAsia" w:eastAsia="仿宋_GB2312"/>
          <w:sz w:val="24"/>
          <w:szCs w:val="28"/>
        </w:rPr>
        <w:t>日，重庆市南岸区规划和自然资源局以“地字第5</w:t>
      </w:r>
      <w:r>
        <w:rPr>
          <w:rFonts w:eastAsia="仿宋_GB2312"/>
          <w:sz w:val="24"/>
          <w:szCs w:val="28"/>
        </w:rPr>
        <w:t>00108202200016</w:t>
      </w:r>
      <w:r>
        <w:rPr>
          <w:rFonts w:hint="eastAsia" w:eastAsia="仿宋_GB2312"/>
          <w:sz w:val="24"/>
          <w:szCs w:val="28"/>
        </w:rPr>
        <w:t>号”</w:t>
      </w:r>
      <w:r>
        <w:rPr>
          <w:rFonts w:eastAsia="仿宋_GB2312"/>
          <w:sz w:val="24"/>
        </w:rPr>
        <w:t>为</w:t>
      </w:r>
      <w:r>
        <w:rPr>
          <w:rFonts w:eastAsia="仿宋_GB2312"/>
          <w:sz w:val="24"/>
          <w:szCs w:val="28"/>
        </w:rPr>
        <w:t>通江新城B02-42-3地块中学工程</w:t>
      </w:r>
      <w:r>
        <w:rPr>
          <w:rFonts w:eastAsia="仿宋_GB2312"/>
          <w:sz w:val="24"/>
        </w:rPr>
        <w:t>颁发了</w:t>
      </w:r>
      <w:r>
        <w:rPr>
          <w:rFonts w:hint="eastAsia" w:eastAsia="仿宋_GB2312"/>
          <w:sz w:val="24"/>
          <w:szCs w:val="28"/>
        </w:rPr>
        <w:t>建设用地规划许可证，</w:t>
      </w:r>
      <w:r>
        <w:rPr>
          <w:rFonts w:eastAsia="仿宋_GB2312"/>
          <w:sz w:val="24"/>
          <w:szCs w:val="28"/>
        </w:rPr>
        <w:t>2021年11月，中煤科工重庆设计研究院（集团）有限公司完成了《</w:t>
      </w:r>
      <w:r>
        <w:rPr>
          <w:rFonts w:hint="eastAsia" w:eastAsia="仿宋_GB2312"/>
          <w:sz w:val="24"/>
          <w:szCs w:val="28"/>
        </w:rPr>
        <w:t>重庆经开区</w:t>
      </w:r>
      <w:r>
        <w:rPr>
          <w:rFonts w:eastAsia="仿宋_GB2312"/>
          <w:sz w:val="24"/>
          <w:szCs w:val="28"/>
        </w:rPr>
        <w:t>通江新城B02-42-3地块中学</w:t>
      </w:r>
      <w:r>
        <w:rPr>
          <w:rFonts w:hint="eastAsia" w:eastAsia="仿宋_GB2312"/>
          <w:sz w:val="24"/>
          <w:szCs w:val="28"/>
        </w:rPr>
        <w:t>项目工程</w:t>
      </w:r>
      <w:r>
        <w:rPr>
          <w:rFonts w:eastAsia="仿宋_GB2312"/>
          <w:sz w:val="24"/>
          <w:szCs w:val="28"/>
        </w:rPr>
        <w:t>地质勘察报告》；</w:t>
      </w:r>
      <w:r>
        <w:rPr>
          <w:rFonts w:eastAsia="仿宋_GB2312"/>
          <w:sz w:val="24"/>
        </w:rPr>
        <w:t>2021年11月17</w:t>
      </w:r>
      <w:r>
        <w:rPr>
          <w:rFonts w:hint="eastAsia" w:eastAsia="仿宋_GB2312"/>
          <w:sz w:val="24"/>
        </w:rPr>
        <w:t>日</w:t>
      </w:r>
      <w:r>
        <w:rPr>
          <w:rFonts w:eastAsia="仿宋_GB2312"/>
          <w:sz w:val="24"/>
        </w:rPr>
        <w:t>，</w:t>
      </w:r>
      <w:r>
        <w:rPr>
          <w:rFonts w:hint="eastAsia" w:eastAsia="仿宋_GB2312"/>
          <w:sz w:val="24"/>
        </w:rPr>
        <w:t>东南大学建筑设计研究院有限公司完成</w:t>
      </w:r>
      <w:r>
        <w:rPr>
          <w:rFonts w:eastAsia="仿宋_GB2312"/>
          <w:sz w:val="24"/>
        </w:rPr>
        <w:t>了《</w:t>
      </w:r>
      <w:r>
        <w:rPr>
          <w:rFonts w:hint="eastAsia" w:eastAsia="仿宋_GB2312"/>
          <w:sz w:val="24"/>
        </w:rPr>
        <w:t>重庆经开区</w:t>
      </w:r>
      <w:r>
        <w:rPr>
          <w:rFonts w:eastAsia="仿宋_GB2312"/>
          <w:sz w:val="24"/>
        </w:rPr>
        <w:t>通江新城B02-42-3地块中学</w:t>
      </w:r>
      <w:r>
        <w:rPr>
          <w:rFonts w:hint="eastAsia" w:eastAsia="仿宋_GB2312"/>
          <w:sz w:val="24"/>
        </w:rPr>
        <w:t>方案</w:t>
      </w:r>
      <w:r>
        <w:rPr>
          <w:rFonts w:eastAsia="仿宋_GB2312"/>
          <w:sz w:val="24"/>
        </w:rPr>
        <w:t>设计》</w:t>
      </w:r>
      <w:r>
        <w:rPr>
          <w:rFonts w:eastAsia="仿宋_GB2312"/>
          <w:sz w:val="24"/>
          <w:szCs w:val="28"/>
        </w:rPr>
        <w:t>；</w:t>
      </w:r>
      <w:r>
        <w:rPr>
          <w:rFonts w:hint="eastAsia" w:eastAsia="仿宋_GB2312"/>
          <w:sz w:val="24"/>
          <w:szCs w:val="28"/>
        </w:rPr>
        <w:t>2</w:t>
      </w:r>
      <w:r>
        <w:rPr>
          <w:rFonts w:eastAsia="仿宋_GB2312"/>
          <w:sz w:val="24"/>
          <w:szCs w:val="28"/>
        </w:rPr>
        <w:t>021</w:t>
      </w:r>
      <w:r>
        <w:rPr>
          <w:rFonts w:hint="eastAsia" w:eastAsia="仿宋_GB2312"/>
          <w:sz w:val="24"/>
          <w:szCs w:val="28"/>
        </w:rPr>
        <w:t>年1</w:t>
      </w:r>
      <w:r>
        <w:rPr>
          <w:rFonts w:eastAsia="仿宋_GB2312"/>
          <w:sz w:val="24"/>
          <w:szCs w:val="28"/>
        </w:rPr>
        <w:t>1</w:t>
      </w:r>
      <w:r>
        <w:rPr>
          <w:rFonts w:hint="eastAsia" w:eastAsia="仿宋_GB2312"/>
          <w:sz w:val="24"/>
          <w:szCs w:val="28"/>
        </w:rPr>
        <w:t>月，东南大学建筑设计研究院有限公司编制完成</w:t>
      </w:r>
      <w:r>
        <w:rPr>
          <w:rFonts w:eastAsia="仿宋_GB2312"/>
          <w:sz w:val="24"/>
          <w:szCs w:val="28"/>
        </w:rPr>
        <w:t>《通江新城B02-42-3地块中学</w:t>
      </w:r>
      <w:r>
        <w:rPr>
          <w:rFonts w:hint="eastAsia" w:eastAsia="仿宋_GB2312"/>
          <w:sz w:val="24"/>
          <w:szCs w:val="28"/>
        </w:rPr>
        <w:t>工程可行性研究报告</w:t>
      </w:r>
      <w:r>
        <w:rPr>
          <w:rFonts w:eastAsia="仿宋_GB2312"/>
          <w:sz w:val="24"/>
          <w:szCs w:val="28"/>
        </w:rPr>
        <w:t>》</w:t>
      </w:r>
      <w:r>
        <w:rPr>
          <w:rFonts w:hint="eastAsia" w:eastAsia="仿宋_GB2312"/>
          <w:sz w:val="24"/>
          <w:szCs w:val="28"/>
        </w:rPr>
        <w:t>，2</w:t>
      </w:r>
      <w:r>
        <w:rPr>
          <w:rFonts w:eastAsia="仿宋_GB2312"/>
          <w:sz w:val="24"/>
          <w:szCs w:val="28"/>
        </w:rPr>
        <w:t>022</w:t>
      </w:r>
      <w:r>
        <w:rPr>
          <w:rFonts w:hint="eastAsia" w:eastAsia="仿宋_GB2312"/>
          <w:sz w:val="24"/>
          <w:szCs w:val="28"/>
        </w:rPr>
        <w:t>年8月4日，项目取得重庆经开区改革发展科技局批准的文《关于通江新城B02-42-3地块中学工程可行性研究报告的批复》，</w:t>
      </w:r>
      <w:r>
        <w:rPr>
          <w:rFonts w:hint="eastAsia" w:eastAsia="仿宋_GB2312"/>
          <w:sz w:val="24"/>
        </w:rPr>
        <w:t>2</w:t>
      </w:r>
      <w:r>
        <w:rPr>
          <w:rFonts w:eastAsia="仿宋_GB2312"/>
          <w:sz w:val="24"/>
        </w:rPr>
        <w:t>022</w:t>
      </w:r>
      <w:r>
        <w:rPr>
          <w:rFonts w:hint="eastAsia" w:eastAsia="仿宋_GB2312"/>
          <w:sz w:val="24"/>
        </w:rPr>
        <w:t>年3月2</w:t>
      </w:r>
      <w:r>
        <w:rPr>
          <w:rFonts w:eastAsia="仿宋_GB2312"/>
          <w:sz w:val="24"/>
        </w:rPr>
        <w:t>5</w:t>
      </w:r>
      <w:r>
        <w:rPr>
          <w:rFonts w:hint="eastAsia" w:eastAsia="仿宋_GB2312"/>
          <w:sz w:val="24"/>
        </w:rPr>
        <w:t>日，东南大学建筑设计研究院有限公司完成了《重庆经开区通江新城B02-42-3地块中学施工图设计》</w:t>
      </w:r>
      <w:r>
        <w:rPr>
          <w:rFonts w:eastAsia="仿宋_GB2312"/>
          <w:sz w:val="24"/>
        </w:rPr>
        <w:t>；2022年3月，</w:t>
      </w:r>
      <w:r>
        <w:rPr>
          <w:rFonts w:hint="eastAsia" w:eastAsia="仿宋_GB2312"/>
          <w:sz w:val="24"/>
          <w:szCs w:val="28"/>
        </w:rPr>
        <w:t>中煤科工重庆设计研究院（集团）有限公司</w:t>
      </w:r>
      <w:r>
        <w:rPr>
          <w:rFonts w:hint="eastAsia" w:eastAsia="仿宋_GB2312"/>
          <w:sz w:val="24"/>
        </w:rPr>
        <w:t>完成</w:t>
      </w:r>
      <w:r>
        <w:rPr>
          <w:rFonts w:eastAsia="仿宋_GB2312"/>
          <w:sz w:val="24"/>
        </w:rPr>
        <w:t>了《</w:t>
      </w:r>
      <w:r>
        <w:rPr>
          <w:rFonts w:hint="eastAsia" w:eastAsia="仿宋_GB2312"/>
          <w:sz w:val="24"/>
        </w:rPr>
        <w:t>重庆经开区</w:t>
      </w:r>
      <w:r>
        <w:rPr>
          <w:rFonts w:eastAsia="仿宋_GB2312"/>
          <w:sz w:val="24"/>
        </w:rPr>
        <w:t>通江新城B02-42-3地块中学</w:t>
      </w:r>
      <w:r>
        <w:rPr>
          <w:rFonts w:hint="eastAsia" w:eastAsia="仿宋_GB2312"/>
          <w:sz w:val="24"/>
        </w:rPr>
        <w:t>项目边坡治理工程施工图</w:t>
      </w:r>
      <w:r>
        <w:rPr>
          <w:rFonts w:eastAsia="仿宋_GB2312"/>
          <w:sz w:val="24"/>
        </w:rPr>
        <w:t>设计》</w:t>
      </w:r>
      <w:r>
        <w:rPr>
          <w:rFonts w:eastAsia="仿宋_GB2312"/>
          <w:sz w:val="24"/>
          <w:szCs w:val="28"/>
        </w:rPr>
        <w:t>；</w:t>
      </w:r>
      <w:r>
        <w:rPr>
          <w:rFonts w:eastAsia="仿宋_GB2312"/>
          <w:sz w:val="24"/>
        </w:rPr>
        <w:t>2022年7月，中云智德（重庆）环境技术有限公司</w:t>
      </w:r>
      <w:r>
        <w:rPr>
          <w:rFonts w:hint="eastAsia" w:eastAsia="仿宋_GB2312"/>
          <w:sz w:val="24"/>
        </w:rPr>
        <w:t>（以下简称“我公司”）</w:t>
      </w:r>
      <w:r>
        <w:rPr>
          <w:rFonts w:eastAsia="仿宋_GB2312"/>
          <w:sz w:val="24"/>
        </w:rPr>
        <w:t>编制完成了《通江新城B02-42-3地块中学工程水土保持方案报告书（报批稿）》</w:t>
      </w:r>
      <w:r>
        <w:rPr>
          <w:rFonts w:hint="eastAsia" w:eastAsia="仿宋_GB2312"/>
          <w:sz w:val="24"/>
        </w:rPr>
        <w:t>；</w:t>
      </w:r>
      <w:r>
        <w:rPr>
          <w:rFonts w:eastAsia="仿宋_GB2312"/>
          <w:sz w:val="24"/>
        </w:rPr>
        <w:t>2</w:t>
      </w:r>
      <w:r>
        <w:rPr>
          <w:rFonts w:eastAsia="仿宋_GB2312"/>
          <w:kern w:val="0"/>
          <w:sz w:val="24"/>
        </w:rPr>
        <w:t>022年7月25日</w:t>
      </w:r>
      <w:r>
        <w:rPr>
          <w:rFonts w:eastAsia="仿宋_GB2312"/>
          <w:sz w:val="24"/>
        </w:rPr>
        <w:t>，</w:t>
      </w:r>
      <w:r>
        <w:rPr>
          <w:rFonts w:eastAsia="仿宋_GB2312"/>
          <w:kern w:val="0"/>
          <w:sz w:val="24"/>
        </w:rPr>
        <w:t>重庆</w:t>
      </w:r>
      <w:r>
        <w:rPr>
          <w:rFonts w:hint="eastAsia" w:eastAsia="仿宋_GB2312"/>
          <w:kern w:val="0"/>
          <w:sz w:val="24"/>
        </w:rPr>
        <w:t>经开区生态环境和建设管理局以“经环建水许可</w:t>
      </w:r>
      <w:r>
        <w:rPr>
          <w:rFonts w:eastAsia="仿宋_GB2312"/>
          <w:kern w:val="0"/>
          <w:sz w:val="24"/>
        </w:rPr>
        <w:t>〔2022〕13号</w:t>
      </w:r>
      <w:r>
        <w:rPr>
          <w:rFonts w:hint="eastAsia" w:eastAsia="仿宋_GB2312"/>
          <w:kern w:val="0"/>
          <w:sz w:val="24"/>
        </w:rPr>
        <w:t>”文下达</w:t>
      </w:r>
      <w:r>
        <w:rPr>
          <w:rFonts w:eastAsia="仿宋_GB2312"/>
          <w:sz w:val="24"/>
        </w:rPr>
        <w:t>了《关于通江新城B02-42-3地块中学工程水土保持方案准予行政许可的决定》对本工程水土保持方案进行了批复。</w:t>
      </w:r>
    </w:p>
    <w:p>
      <w:pPr>
        <w:topLinePunct/>
        <w:adjustRightInd w:val="0"/>
        <w:snapToGrid w:val="0"/>
        <w:spacing w:line="360" w:lineRule="auto"/>
        <w:ind w:firstLine="480" w:firstLineChars="200"/>
        <w:rPr>
          <w:rFonts w:eastAsia="仿宋_GB2312"/>
          <w:kern w:val="0"/>
          <w:sz w:val="24"/>
        </w:rPr>
      </w:pPr>
      <w:r>
        <w:rPr>
          <w:rFonts w:hint="eastAsia" w:eastAsia="仿宋_GB2312"/>
          <w:kern w:val="0"/>
          <w:sz w:val="24"/>
        </w:rPr>
        <w:t>本工程为新建建设类项目，</w:t>
      </w:r>
      <w:r>
        <w:rPr>
          <w:rFonts w:eastAsia="仿宋_GB2312"/>
          <w:kern w:val="0"/>
          <w:sz w:val="24"/>
        </w:rPr>
        <w:t>于2021年10月开工，2023年3月</w:t>
      </w:r>
      <w:r>
        <w:rPr>
          <w:rFonts w:eastAsia="仿宋_GB2312"/>
          <w:sz w:val="24"/>
        </w:rPr>
        <w:t>完工，总工期为18个月</w:t>
      </w:r>
      <w:r>
        <w:rPr>
          <w:rFonts w:hint="eastAsia" w:eastAsia="仿宋_GB2312"/>
          <w:sz w:val="24"/>
        </w:rPr>
        <w:t>，</w:t>
      </w:r>
      <w:r>
        <w:rPr>
          <w:rFonts w:hint="eastAsia" w:eastAsia="仿宋_GB2312"/>
          <w:kern w:val="0"/>
          <w:sz w:val="24"/>
        </w:rPr>
        <w:t>项目总占地面积</w:t>
      </w:r>
      <w:r>
        <w:rPr>
          <w:rFonts w:eastAsia="仿宋_GB2312"/>
          <w:kern w:val="0"/>
          <w:sz w:val="24"/>
        </w:rPr>
        <w:t>6.67</w:t>
      </w:r>
      <w:r>
        <w:rPr>
          <w:rFonts w:hint="eastAsia" w:eastAsia="仿宋_GB2312"/>
          <w:kern w:val="0"/>
          <w:sz w:val="24"/>
        </w:rPr>
        <w:t>hm</w:t>
      </w:r>
      <w:r>
        <w:rPr>
          <w:rFonts w:hint="eastAsia" w:eastAsia="仿宋_GB2312"/>
          <w:kern w:val="0"/>
          <w:sz w:val="24"/>
          <w:vertAlign w:val="superscript"/>
        </w:rPr>
        <w:t>2</w:t>
      </w:r>
      <w:r>
        <w:rPr>
          <w:rFonts w:hint="eastAsia" w:eastAsia="仿宋_GB2312"/>
          <w:kern w:val="0"/>
          <w:sz w:val="24"/>
        </w:rPr>
        <w:t>，其中永久占地</w:t>
      </w:r>
      <w:r>
        <w:rPr>
          <w:rFonts w:eastAsia="仿宋_GB2312"/>
          <w:kern w:val="0"/>
          <w:sz w:val="24"/>
        </w:rPr>
        <w:t>6.37</w:t>
      </w:r>
      <w:r>
        <w:rPr>
          <w:rFonts w:hint="eastAsia" w:eastAsia="仿宋_GB2312"/>
          <w:kern w:val="0"/>
          <w:sz w:val="24"/>
        </w:rPr>
        <w:t>hm</w:t>
      </w:r>
      <w:r>
        <w:rPr>
          <w:rFonts w:hint="eastAsia" w:eastAsia="仿宋_GB2312"/>
          <w:kern w:val="0"/>
          <w:sz w:val="24"/>
          <w:vertAlign w:val="superscript"/>
        </w:rPr>
        <w:t>2</w:t>
      </w:r>
      <w:r>
        <w:rPr>
          <w:rFonts w:hint="eastAsia" w:eastAsia="仿宋_GB2312"/>
          <w:kern w:val="0"/>
          <w:sz w:val="24"/>
        </w:rPr>
        <w:t>，临时占地0.30hm</w:t>
      </w:r>
      <w:r>
        <w:rPr>
          <w:rFonts w:hint="eastAsia" w:eastAsia="仿宋_GB2312"/>
          <w:kern w:val="0"/>
          <w:sz w:val="24"/>
          <w:vertAlign w:val="superscript"/>
        </w:rPr>
        <w:t>2</w:t>
      </w:r>
      <w:r>
        <w:rPr>
          <w:rFonts w:hint="eastAsia" w:eastAsia="仿宋_GB2312"/>
          <w:kern w:val="0"/>
          <w:sz w:val="24"/>
        </w:rPr>
        <w:t>，</w:t>
      </w:r>
      <w:r>
        <w:rPr>
          <w:rFonts w:eastAsia="仿宋_GB2312"/>
          <w:kern w:val="0"/>
          <w:sz w:val="24"/>
        </w:rPr>
        <w:t>临时占地主要为</w:t>
      </w:r>
      <w:r>
        <w:rPr>
          <w:rFonts w:hint="eastAsia" w:eastAsia="仿宋_GB2312"/>
          <w:kern w:val="0"/>
          <w:sz w:val="24"/>
        </w:rPr>
        <w:t>施工生产生活区用</w:t>
      </w:r>
      <w:r>
        <w:rPr>
          <w:rFonts w:eastAsia="仿宋_GB2312"/>
          <w:kern w:val="0"/>
          <w:sz w:val="24"/>
        </w:rPr>
        <w:t>地</w:t>
      </w:r>
      <w:r>
        <w:rPr>
          <w:rFonts w:hint="eastAsia" w:eastAsia="仿宋_GB2312"/>
          <w:kern w:val="0"/>
          <w:sz w:val="24"/>
        </w:rPr>
        <w:t>，</w:t>
      </w:r>
      <w:r>
        <w:rPr>
          <w:rFonts w:eastAsia="仿宋_GB2312"/>
          <w:kern w:val="0"/>
          <w:sz w:val="24"/>
        </w:rPr>
        <w:t>经咨询建设单位，</w:t>
      </w:r>
      <w:r>
        <w:rPr>
          <w:rFonts w:eastAsia="仿宋_GB2312"/>
          <w:sz w:val="24"/>
        </w:rPr>
        <w:t>本项目临建设施将移交给建设单位另一</w:t>
      </w:r>
      <w:r>
        <w:rPr>
          <w:rFonts w:hint="eastAsia" w:eastAsia="仿宋_GB2312"/>
          <w:sz w:val="24"/>
        </w:rPr>
        <w:t>道路</w:t>
      </w:r>
      <w:r>
        <w:rPr>
          <w:rFonts w:eastAsia="仿宋_GB2312"/>
          <w:sz w:val="24"/>
        </w:rPr>
        <w:t>建设项目“茶园支十五路道路及配套工程”使用，且此临建设施区域</w:t>
      </w:r>
      <w:r>
        <w:rPr>
          <w:rFonts w:hint="eastAsia" w:eastAsia="仿宋_GB2312"/>
          <w:sz w:val="24"/>
        </w:rPr>
        <w:t>水土保持措施</w:t>
      </w:r>
      <w:r>
        <w:rPr>
          <w:rFonts w:eastAsia="仿宋_GB2312"/>
          <w:sz w:val="24"/>
        </w:rPr>
        <w:t>将纳入道路工程验收</w:t>
      </w:r>
      <w:r>
        <w:rPr>
          <w:rFonts w:eastAsia="仿宋_GB2312"/>
          <w:kern w:val="0"/>
          <w:sz w:val="24"/>
        </w:rPr>
        <w:t>。</w:t>
      </w:r>
      <w:r>
        <w:rPr>
          <w:rFonts w:hint="eastAsia" w:eastAsia="仿宋_GB2312"/>
          <w:kern w:val="0"/>
          <w:sz w:val="24"/>
        </w:rPr>
        <w:t>本项目</w:t>
      </w:r>
      <w:r>
        <w:rPr>
          <w:rFonts w:hint="eastAsia" w:eastAsia="仿宋_GB2312"/>
          <w:sz w:val="24"/>
        </w:rPr>
        <w:t>挖方总计约</w:t>
      </w:r>
      <w:r>
        <w:rPr>
          <w:rFonts w:eastAsia="仿宋_GB2312"/>
          <w:sz w:val="24"/>
        </w:rPr>
        <w:t>45</w:t>
      </w:r>
      <w:r>
        <w:rPr>
          <w:rFonts w:hint="eastAsia" w:eastAsia="仿宋_GB2312"/>
          <w:sz w:val="24"/>
        </w:rPr>
        <w:t>万</w:t>
      </w:r>
      <w:r>
        <w:rPr>
          <w:rFonts w:eastAsia="仿宋_GB2312"/>
          <w:sz w:val="24"/>
        </w:rPr>
        <w:t>m</w:t>
      </w:r>
      <w:r>
        <w:rPr>
          <w:rFonts w:eastAsia="仿宋_GB2312"/>
          <w:sz w:val="24"/>
          <w:vertAlign w:val="superscript"/>
        </w:rPr>
        <w:t>3</w:t>
      </w:r>
      <w:r>
        <w:rPr>
          <w:rFonts w:hint="eastAsia" w:eastAsia="仿宋_GB2312"/>
          <w:sz w:val="24"/>
        </w:rPr>
        <w:t>，</w:t>
      </w:r>
      <w:r>
        <w:rPr>
          <w:rFonts w:eastAsia="仿宋_GB2312"/>
          <w:kern w:val="0"/>
          <w:sz w:val="24"/>
        </w:rPr>
        <w:t>回填土石方</w:t>
      </w:r>
      <w:r>
        <w:rPr>
          <w:rFonts w:hint="eastAsia" w:eastAsia="仿宋_GB2312"/>
          <w:kern w:val="0"/>
          <w:sz w:val="24"/>
        </w:rPr>
        <w:t>约0</w:t>
      </w:r>
      <w:r>
        <w:rPr>
          <w:rFonts w:eastAsia="仿宋_GB2312"/>
          <w:kern w:val="0"/>
          <w:sz w:val="24"/>
        </w:rPr>
        <w:t>.20</w:t>
      </w:r>
      <w:r>
        <w:rPr>
          <w:rFonts w:hint="eastAsia" w:eastAsia="仿宋_GB2312"/>
          <w:sz w:val="24"/>
        </w:rPr>
        <w:t>万</w:t>
      </w:r>
      <w:r>
        <w:rPr>
          <w:rFonts w:eastAsia="仿宋_GB2312"/>
          <w:sz w:val="24"/>
        </w:rPr>
        <w:t>m</w:t>
      </w:r>
      <w:r>
        <w:rPr>
          <w:rFonts w:eastAsia="仿宋_GB2312"/>
          <w:sz w:val="24"/>
          <w:vertAlign w:val="superscript"/>
        </w:rPr>
        <w:t>3</w:t>
      </w:r>
      <w:r>
        <w:rPr>
          <w:rFonts w:eastAsia="仿宋_GB2312"/>
          <w:kern w:val="0"/>
          <w:sz w:val="24"/>
        </w:rPr>
        <w:t>，弃方</w:t>
      </w:r>
      <w:r>
        <w:rPr>
          <w:rFonts w:hint="eastAsia" w:eastAsia="仿宋_GB2312"/>
          <w:kern w:val="0"/>
          <w:sz w:val="24"/>
        </w:rPr>
        <w:t>约</w:t>
      </w:r>
      <w:r>
        <w:rPr>
          <w:rFonts w:eastAsia="仿宋_GB2312"/>
          <w:kern w:val="0"/>
          <w:sz w:val="24"/>
        </w:rPr>
        <w:t>44.80万m</w:t>
      </w:r>
      <w:r>
        <w:rPr>
          <w:rFonts w:eastAsia="仿宋_GB2312"/>
          <w:kern w:val="0"/>
          <w:sz w:val="24"/>
          <w:vertAlign w:val="superscript"/>
        </w:rPr>
        <w:t>3</w:t>
      </w:r>
      <w:r>
        <w:rPr>
          <w:rFonts w:hint="eastAsia" w:eastAsia="仿宋_GB2312"/>
          <w:sz w:val="24"/>
        </w:rPr>
        <w:t>，</w:t>
      </w:r>
      <w:r>
        <w:rPr>
          <w:rFonts w:hint="eastAsia" w:eastAsia="仿宋_GB2312"/>
          <w:sz w:val="24"/>
          <w:szCs w:val="28"/>
        </w:rPr>
        <w:t>弃方已全部</w:t>
      </w:r>
      <w:r>
        <w:rPr>
          <w:rFonts w:eastAsia="仿宋_GB2312"/>
          <w:sz w:val="24"/>
          <w:szCs w:val="28"/>
        </w:rPr>
        <w:t>运往</w:t>
      </w:r>
      <w:r>
        <w:rPr>
          <w:rFonts w:hint="eastAsia" w:eastAsia="仿宋_GB2312"/>
          <w:sz w:val="24"/>
          <w:szCs w:val="28"/>
        </w:rPr>
        <w:t>经开区峡口镇土石方消纳场</w:t>
      </w:r>
      <w:r>
        <w:rPr>
          <w:rFonts w:hint="eastAsia" w:eastAsia="仿宋_GB2312"/>
          <w:sz w:val="24"/>
        </w:rPr>
        <w:t>处置，</w:t>
      </w:r>
      <w:r>
        <w:rPr>
          <w:rFonts w:hint="eastAsia" w:eastAsia="仿宋_GB2312"/>
          <w:kern w:val="0"/>
          <w:sz w:val="24"/>
        </w:rPr>
        <w:t>建设内容</w:t>
      </w:r>
      <w:r>
        <w:rPr>
          <w:rFonts w:hint="eastAsia" w:eastAsia="仿宋_GB2312"/>
          <w:sz w:val="24"/>
          <w:szCs w:val="28"/>
        </w:rPr>
        <w:t>包括南北</w:t>
      </w:r>
      <w:r>
        <w:rPr>
          <w:rFonts w:eastAsia="仿宋_GB2312"/>
          <w:sz w:val="24"/>
          <w:szCs w:val="28"/>
        </w:rPr>
        <w:t>2</w:t>
      </w:r>
      <w:r>
        <w:rPr>
          <w:rFonts w:hint="eastAsia" w:eastAsia="仿宋_GB2312"/>
          <w:sz w:val="24"/>
          <w:szCs w:val="28"/>
        </w:rPr>
        <w:t>栋楼、</w:t>
      </w:r>
      <w:r>
        <w:rPr>
          <w:rFonts w:eastAsia="仿宋_GB2312"/>
          <w:sz w:val="24"/>
          <w:szCs w:val="28"/>
        </w:rPr>
        <w:t>5</w:t>
      </w:r>
      <w:r>
        <w:rPr>
          <w:rFonts w:hint="eastAsia" w:eastAsia="仿宋_GB2312"/>
          <w:sz w:val="24"/>
          <w:szCs w:val="28"/>
        </w:rPr>
        <w:t>个门卫室</w:t>
      </w:r>
      <w:r>
        <w:rPr>
          <w:rFonts w:hint="eastAsia" w:ascii="仿宋_GB2312" w:eastAsia="仿宋_GB2312"/>
          <w:sz w:val="24"/>
        </w:rPr>
        <w:t>以</w:t>
      </w:r>
      <w:r>
        <w:rPr>
          <w:rFonts w:hint="eastAsia" w:eastAsia="仿宋_GB2312"/>
          <w:sz w:val="24"/>
          <w:szCs w:val="28"/>
        </w:rPr>
        <w:t>及操场、配套道路、实地绿化和屋顶绿化、综合管网等，其中</w:t>
      </w:r>
      <w:r>
        <w:rPr>
          <w:rFonts w:hint="eastAsia" w:ascii="仿宋_GB2312" w:eastAsia="仿宋_GB2312"/>
          <w:sz w:val="24"/>
        </w:rPr>
        <w:t>南侧楼栋设置宿舍，艺术楼，报告厅，体育馆，地下车库等；北侧楼栋设置教学，办公等功能</w:t>
      </w:r>
      <w:r>
        <w:rPr>
          <w:rFonts w:hint="eastAsia" w:eastAsia="仿宋_GB2312"/>
          <w:kern w:val="0"/>
          <w:sz w:val="24"/>
        </w:rPr>
        <w:t>。项目总投资94930.4</w:t>
      </w:r>
      <w:r>
        <w:rPr>
          <w:rFonts w:eastAsia="仿宋_GB2312"/>
          <w:kern w:val="0"/>
          <w:sz w:val="24"/>
        </w:rPr>
        <w:t>万元，其中</w:t>
      </w:r>
      <w:r>
        <w:rPr>
          <w:rFonts w:hint="eastAsia" w:eastAsia="仿宋_GB2312"/>
          <w:kern w:val="0"/>
          <w:sz w:val="24"/>
        </w:rPr>
        <w:t>土建投资6</w:t>
      </w:r>
      <w:r>
        <w:rPr>
          <w:rFonts w:eastAsia="仿宋_GB2312"/>
          <w:kern w:val="0"/>
          <w:sz w:val="24"/>
        </w:rPr>
        <w:t>3286.9</w:t>
      </w:r>
      <w:r>
        <w:rPr>
          <w:rFonts w:hint="eastAsia" w:eastAsia="仿宋_GB2312"/>
          <w:kern w:val="0"/>
          <w:sz w:val="24"/>
        </w:rPr>
        <w:t>万元</w:t>
      </w:r>
      <w:r>
        <w:rPr>
          <w:rFonts w:eastAsia="仿宋_GB2312"/>
          <w:kern w:val="0"/>
          <w:sz w:val="24"/>
        </w:rPr>
        <w:t>，</w:t>
      </w:r>
      <w:r>
        <w:rPr>
          <w:rFonts w:hint="eastAsia" w:eastAsia="仿宋_GB2312"/>
          <w:kern w:val="0"/>
          <w:sz w:val="24"/>
        </w:rPr>
        <w:t>工程投资全部来源于</w:t>
      </w:r>
      <w:r>
        <w:rPr>
          <w:rFonts w:eastAsia="仿宋_GB2312"/>
          <w:kern w:val="0"/>
          <w:sz w:val="24"/>
        </w:rPr>
        <w:t>业主自筹。</w:t>
      </w:r>
    </w:p>
    <w:p>
      <w:pPr>
        <w:topLinePunct/>
        <w:adjustRightInd w:val="0"/>
        <w:snapToGrid w:val="0"/>
        <w:spacing w:line="360" w:lineRule="auto"/>
        <w:ind w:firstLine="480" w:firstLineChars="200"/>
        <w:rPr>
          <w:rFonts w:eastAsia="仿宋_GB2312"/>
          <w:kern w:val="0"/>
          <w:sz w:val="24"/>
        </w:rPr>
        <w:sectPr>
          <w:headerReference r:id="rId7" w:type="default"/>
          <w:pgSz w:w="11906" w:h="16838"/>
          <w:pgMar w:top="1701" w:right="1418" w:bottom="1701" w:left="1418" w:header="851" w:footer="992" w:gutter="0"/>
          <w:pgNumType w:start="1"/>
          <w:cols w:space="720" w:num="1"/>
          <w:docGrid w:linePitch="312" w:charSpace="0"/>
        </w:sectPr>
      </w:pPr>
      <w:r>
        <w:rPr>
          <w:rFonts w:hint="eastAsia" w:eastAsia="仿宋_GB2312"/>
          <w:kern w:val="0"/>
          <w:sz w:val="24"/>
        </w:rPr>
        <w:t>2</w:t>
      </w:r>
      <w:r>
        <w:rPr>
          <w:rFonts w:eastAsia="仿宋_GB2312"/>
          <w:kern w:val="0"/>
          <w:sz w:val="24"/>
        </w:rPr>
        <w:t>022</w:t>
      </w:r>
      <w:r>
        <w:rPr>
          <w:rFonts w:hint="eastAsia" w:eastAsia="仿宋_GB2312"/>
          <w:kern w:val="0"/>
          <w:sz w:val="24"/>
        </w:rPr>
        <w:t>年1</w:t>
      </w:r>
      <w:r>
        <w:rPr>
          <w:rFonts w:eastAsia="仿宋_GB2312"/>
          <w:kern w:val="0"/>
          <w:sz w:val="24"/>
        </w:rPr>
        <w:t>2</w:t>
      </w:r>
      <w:r>
        <w:rPr>
          <w:rFonts w:hint="eastAsia" w:eastAsia="仿宋_GB2312"/>
          <w:kern w:val="0"/>
          <w:sz w:val="24"/>
        </w:rPr>
        <w:t>月，中云智德（重庆）环境技术有限公司（以下简称“我单位”）编制完成了《通江中学</w:t>
      </w:r>
      <w:r>
        <w:rPr>
          <w:rFonts w:eastAsia="仿宋_GB2312"/>
          <w:sz w:val="24"/>
        </w:rPr>
        <w:t>B02-42-3地块中学工程</w:t>
      </w:r>
      <w:r>
        <w:rPr>
          <w:rFonts w:hint="eastAsia" w:eastAsia="仿宋_GB2312"/>
          <w:sz w:val="24"/>
        </w:rPr>
        <w:t>监测实施方案</w:t>
      </w:r>
      <w:r>
        <w:rPr>
          <w:rFonts w:hint="eastAsia" w:eastAsia="仿宋_GB2312"/>
          <w:kern w:val="0"/>
          <w:sz w:val="24"/>
        </w:rPr>
        <w:t>》初步确定了水土保持监测行动计划，</w:t>
      </w:r>
      <w:r>
        <w:rPr>
          <w:rFonts w:hint="eastAsia" w:eastAsia="仿宋_GB2312"/>
          <w:sz w:val="24"/>
        </w:rPr>
        <w:t>2</w:t>
      </w:r>
      <w:r>
        <w:rPr>
          <w:rFonts w:eastAsia="仿宋_GB2312"/>
          <w:sz w:val="24"/>
        </w:rPr>
        <w:t>023</w:t>
      </w:r>
      <w:r>
        <w:rPr>
          <w:rFonts w:hint="eastAsia" w:eastAsia="仿宋_GB2312"/>
          <w:sz w:val="24"/>
        </w:rPr>
        <w:t>年1月至3月，我公司组织水土保持相关专业技术人员对项目区进行了水土保持监测，并于2</w:t>
      </w:r>
      <w:r>
        <w:rPr>
          <w:rFonts w:eastAsia="仿宋_GB2312"/>
          <w:sz w:val="24"/>
        </w:rPr>
        <w:t>023</w:t>
      </w:r>
      <w:r>
        <w:rPr>
          <w:rFonts w:hint="eastAsia" w:eastAsia="仿宋_GB2312"/>
          <w:sz w:val="24"/>
        </w:rPr>
        <w:t>年4月编制完成了2</w:t>
      </w:r>
      <w:r>
        <w:rPr>
          <w:rFonts w:eastAsia="仿宋_GB2312"/>
          <w:sz w:val="24"/>
        </w:rPr>
        <w:t>023</w:t>
      </w:r>
      <w:r>
        <w:rPr>
          <w:rFonts w:hint="eastAsia" w:eastAsia="仿宋_GB2312"/>
          <w:sz w:val="24"/>
        </w:rPr>
        <w:t>年第一季度监测季报，三色评价为绿色</w:t>
      </w:r>
      <w:r>
        <w:rPr>
          <w:rFonts w:hint="eastAsia" w:eastAsia="仿宋_GB2312"/>
          <w:kern w:val="0"/>
          <w:sz w:val="24"/>
        </w:rPr>
        <w:t>，并于同月完成了《通江中学</w:t>
      </w:r>
      <w:r>
        <w:rPr>
          <w:rFonts w:eastAsia="仿宋_GB2312"/>
          <w:sz w:val="24"/>
        </w:rPr>
        <w:t>B02-42-3地块中学工程</w:t>
      </w:r>
      <w:r>
        <w:rPr>
          <w:rFonts w:hint="eastAsia" w:eastAsia="仿宋_GB2312"/>
          <w:sz w:val="24"/>
        </w:rPr>
        <w:t>监测总结报告</w:t>
      </w:r>
      <w:r>
        <w:rPr>
          <w:rFonts w:hint="eastAsia" w:eastAsia="仿宋_GB2312"/>
          <w:kern w:val="0"/>
          <w:sz w:val="24"/>
        </w:rPr>
        <w:t>》。</w:t>
      </w:r>
    </w:p>
    <w:p>
      <w:pPr>
        <w:pStyle w:val="47"/>
        <w:topLinePunct/>
        <w:adjustRightInd w:val="0"/>
        <w:spacing w:before="0" w:after="0" w:line="360" w:lineRule="auto"/>
        <w:jc w:val="both"/>
        <w:rPr>
          <w:rFonts w:eastAsia="仿宋_GB2312"/>
          <w:szCs w:val="36"/>
        </w:rPr>
      </w:pPr>
      <w:bookmarkStart w:id="7" w:name="_Toc134801908"/>
      <w:r>
        <w:rPr>
          <w:rFonts w:eastAsia="仿宋_GB2312"/>
          <w:color w:val="000000" w:themeColor="text1"/>
          <w:szCs w:val="36"/>
          <w14:textFill>
            <w14:solidFill>
              <w14:schemeClr w14:val="tx1"/>
            </w14:solidFill>
          </w14:textFill>
        </w:rPr>
        <w:t xml:space="preserve">1 </w:t>
      </w:r>
      <w:r>
        <w:rPr>
          <w:rFonts w:eastAsia="仿宋_GB2312"/>
          <w:szCs w:val="36"/>
          <w:lang w:eastAsia="zh-CN"/>
        </w:rPr>
        <w:t>建设</w:t>
      </w:r>
      <w:r>
        <w:rPr>
          <w:rFonts w:eastAsia="仿宋_GB2312"/>
          <w:szCs w:val="36"/>
        </w:rPr>
        <w:t>项目及水土</w:t>
      </w:r>
      <w:r>
        <w:rPr>
          <w:rFonts w:eastAsia="仿宋_GB2312"/>
          <w:szCs w:val="36"/>
          <w:lang w:eastAsia="zh-CN"/>
        </w:rPr>
        <w:t>保持</w:t>
      </w:r>
      <w:r>
        <w:rPr>
          <w:rFonts w:eastAsia="仿宋_GB2312"/>
          <w:szCs w:val="36"/>
        </w:rPr>
        <w:t>工作概况</w:t>
      </w:r>
      <w:bookmarkEnd w:id="7"/>
    </w:p>
    <w:p>
      <w:pPr>
        <w:pStyle w:val="3"/>
        <w:adjustRightInd w:val="0"/>
        <w:spacing w:before="0" w:after="0" w:line="360" w:lineRule="auto"/>
        <w:rPr>
          <w:rFonts w:ascii="Times New Roman" w:hAnsi="Times New Roman" w:eastAsia="仿宋_GB2312"/>
          <w:bCs w:val="0"/>
          <w:sz w:val="28"/>
          <w:szCs w:val="28"/>
        </w:rPr>
      </w:pPr>
      <w:bookmarkStart w:id="8" w:name="_Toc134801909"/>
      <w:r>
        <w:rPr>
          <w:rFonts w:ascii="Times New Roman" w:hAnsi="Times New Roman" w:eastAsia="仿宋_GB2312"/>
          <w:bCs w:val="0"/>
          <w:sz w:val="28"/>
          <w:szCs w:val="28"/>
        </w:rPr>
        <w:t xml:space="preserve">1.1 </w:t>
      </w:r>
      <w:r>
        <w:rPr>
          <w:rFonts w:ascii="Times New Roman" w:hAnsi="Times New Roman" w:eastAsia="仿宋_GB2312"/>
          <w:bCs w:val="0"/>
          <w:sz w:val="28"/>
          <w:szCs w:val="28"/>
          <w:lang w:eastAsia="zh-CN"/>
        </w:rPr>
        <w:t>项目</w:t>
      </w:r>
      <w:r>
        <w:rPr>
          <w:rFonts w:ascii="Times New Roman" w:hAnsi="Times New Roman" w:eastAsia="仿宋_GB2312"/>
          <w:bCs w:val="0"/>
          <w:sz w:val="28"/>
          <w:szCs w:val="28"/>
        </w:rPr>
        <w:t>概况</w:t>
      </w:r>
      <w:bookmarkEnd w:id="8"/>
    </w:p>
    <w:p>
      <w:pPr>
        <w:pStyle w:val="4"/>
        <w:keepLines/>
        <w:topLinePunct/>
        <w:adjustRightInd w:val="0"/>
        <w:snapToGrid w:val="0"/>
        <w:spacing w:line="360" w:lineRule="auto"/>
        <w:rPr>
          <w:bCs w:val="0"/>
          <w:sz w:val="24"/>
          <w:szCs w:val="24"/>
        </w:rPr>
      </w:pPr>
      <w:r>
        <w:rPr>
          <w:bCs w:val="0"/>
          <w:sz w:val="24"/>
          <w:szCs w:val="24"/>
        </w:rPr>
        <w:t>1.1.1 项目</w:t>
      </w:r>
      <w:r>
        <w:rPr>
          <w:bCs w:val="0"/>
          <w:sz w:val="24"/>
          <w:szCs w:val="24"/>
          <w:lang w:eastAsia="zh-CN"/>
        </w:rPr>
        <w:t>基本</w:t>
      </w:r>
      <w:r>
        <w:rPr>
          <w:bCs w:val="0"/>
          <w:sz w:val="24"/>
          <w:szCs w:val="24"/>
        </w:rPr>
        <w:t>概况</w:t>
      </w:r>
    </w:p>
    <w:p>
      <w:pPr>
        <w:autoSpaceDE w:val="0"/>
        <w:autoSpaceDN w:val="0"/>
        <w:adjustRightInd w:val="0"/>
        <w:spacing w:line="360" w:lineRule="auto"/>
        <w:ind w:firstLine="482" w:firstLineChars="200"/>
        <w:rPr>
          <w:rFonts w:eastAsia="仿宋_GB2312"/>
          <w:kern w:val="0"/>
          <w:sz w:val="24"/>
        </w:rPr>
      </w:pPr>
      <w:r>
        <w:rPr>
          <w:rFonts w:eastAsia="仿宋_GB2312"/>
          <w:b/>
          <w:kern w:val="0"/>
          <w:sz w:val="24"/>
        </w:rPr>
        <w:t>地理位置：</w:t>
      </w:r>
      <w:r>
        <w:rPr>
          <w:rFonts w:eastAsia="仿宋_GB2312"/>
          <w:kern w:val="0"/>
          <w:sz w:val="24"/>
        </w:rPr>
        <w:t>通江新城B02-42-3地块中学工程位于重庆市南岸区茶园B标准分区，行政区划属于重庆市南岸区长生桥镇。</w:t>
      </w:r>
    </w:p>
    <w:p>
      <w:pPr>
        <w:autoSpaceDE w:val="0"/>
        <w:autoSpaceDN w:val="0"/>
        <w:adjustRightInd w:val="0"/>
        <w:spacing w:line="360" w:lineRule="auto"/>
        <w:ind w:firstLine="482" w:firstLineChars="200"/>
        <w:rPr>
          <w:rFonts w:eastAsia="仿宋_GB2312"/>
          <w:kern w:val="0"/>
          <w:sz w:val="24"/>
        </w:rPr>
      </w:pPr>
      <w:r>
        <w:rPr>
          <w:rFonts w:eastAsia="仿宋_GB2312"/>
          <w:b/>
          <w:bCs/>
          <w:kern w:val="0"/>
          <w:sz w:val="24"/>
        </w:rPr>
        <w:t>建设性质</w:t>
      </w:r>
      <w:r>
        <w:rPr>
          <w:rFonts w:eastAsia="仿宋_GB2312"/>
          <w:bCs/>
          <w:kern w:val="0"/>
          <w:sz w:val="24"/>
        </w:rPr>
        <w:t>：</w:t>
      </w:r>
      <w:r>
        <w:rPr>
          <w:rFonts w:eastAsia="仿宋_GB2312"/>
          <w:kern w:val="0"/>
          <w:sz w:val="24"/>
        </w:rPr>
        <w:t>新建。</w:t>
      </w:r>
    </w:p>
    <w:p>
      <w:pPr>
        <w:autoSpaceDE w:val="0"/>
        <w:autoSpaceDN w:val="0"/>
        <w:adjustRightInd w:val="0"/>
        <w:spacing w:line="360" w:lineRule="auto"/>
        <w:ind w:firstLine="482" w:firstLineChars="200"/>
        <w:rPr>
          <w:rFonts w:eastAsia="仿宋_GB2312"/>
          <w:color w:val="FF0000"/>
          <w:sz w:val="24"/>
        </w:rPr>
      </w:pPr>
      <w:r>
        <w:rPr>
          <w:rFonts w:eastAsia="仿宋_GB2312"/>
          <w:b/>
          <w:bCs/>
          <w:kern w:val="0"/>
          <w:sz w:val="24"/>
        </w:rPr>
        <w:t>建设内容及项目组成：</w:t>
      </w:r>
      <w:r>
        <w:rPr>
          <w:rFonts w:eastAsia="仿宋_GB2312"/>
          <w:sz w:val="24"/>
        </w:rPr>
        <w:t>本项目建设内容主要内容包括</w:t>
      </w:r>
      <w:r>
        <w:rPr>
          <w:rFonts w:eastAsia="仿宋_GB2312"/>
          <w:sz w:val="24"/>
          <w:szCs w:val="28"/>
        </w:rPr>
        <w:t>南北</w:t>
      </w:r>
      <w:r>
        <w:rPr>
          <w:rFonts w:eastAsia="仿宋_GB2312"/>
          <w:color w:val="000000" w:themeColor="text1"/>
          <w:sz w:val="24"/>
          <w:szCs w:val="28"/>
          <w14:textFill>
            <w14:solidFill>
              <w14:schemeClr w14:val="tx1"/>
            </w14:solidFill>
          </w14:textFill>
        </w:rPr>
        <w:t>2栋楼、5个门卫室</w:t>
      </w:r>
      <w:r>
        <w:rPr>
          <w:rFonts w:eastAsia="仿宋_GB2312"/>
          <w:color w:val="000000" w:themeColor="text1"/>
          <w:sz w:val="24"/>
          <w14:textFill>
            <w14:solidFill>
              <w14:schemeClr w14:val="tx1"/>
            </w14:solidFill>
          </w14:textFill>
        </w:rPr>
        <w:t>以</w:t>
      </w:r>
      <w:r>
        <w:rPr>
          <w:rFonts w:eastAsia="仿宋_GB2312"/>
          <w:color w:val="000000" w:themeColor="text1"/>
          <w:sz w:val="24"/>
          <w:szCs w:val="28"/>
          <w14:textFill>
            <w14:solidFill>
              <w14:schemeClr w14:val="tx1"/>
            </w14:solidFill>
          </w14:textFill>
        </w:rPr>
        <w:t>及操场、配套道路、实地绿化和屋顶绿化、综合管网等，其中</w:t>
      </w:r>
      <w:r>
        <w:rPr>
          <w:rFonts w:eastAsia="仿宋_GB2312"/>
          <w:color w:val="000000" w:themeColor="text1"/>
          <w:sz w:val="24"/>
          <w14:textFill>
            <w14:solidFill>
              <w14:schemeClr w14:val="tx1"/>
            </w14:solidFill>
          </w14:textFill>
        </w:rPr>
        <w:t>南侧楼栋设置宿舍，艺术楼，报告厅，体育馆，地下车库等；北侧楼栋设置教学，办公等功</w:t>
      </w:r>
      <w:r>
        <w:rPr>
          <w:rFonts w:eastAsia="仿宋_GB2312"/>
          <w:sz w:val="24"/>
        </w:rPr>
        <w:t>能。</w:t>
      </w:r>
    </w:p>
    <w:p>
      <w:pPr>
        <w:autoSpaceDE w:val="0"/>
        <w:autoSpaceDN w:val="0"/>
        <w:adjustRightInd w:val="0"/>
        <w:spacing w:line="360" w:lineRule="auto"/>
        <w:ind w:firstLine="482" w:firstLineChars="200"/>
        <w:rPr>
          <w:rFonts w:eastAsia="仿宋_GB2312"/>
          <w:kern w:val="0"/>
          <w:sz w:val="24"/>
        </w:rPr>
      </w:pPr>
      <w:r>
        <w:rPr>
          <w:rFonts w:eastAsia="仿宋_GB2312"/>
          <w:b/>
          <w:kern w:val="0"/>
          <w:sz w:val="24"/>
        </w:rPr>
        <w:t>工程占地</w:t>
      </w:r>
      <w:r>
        <w:rPr>
          <w:rFonts w:eastAsia="仿宋_GB2312"/>
          <w:kern w:val="0"/>
          <w:sz w:val="24"/>
        </w:rPr>
        <w:t>：项目总占地面积6.67hm</w:t>
      </w:r>
      <w:r>
        <w:rPr>
          <w:rFonts w:eastAsia="仿宋_GB2312"/>
          <w:kern w:val="0"/>
          <w:sz w:val="24"/>
          <w:vertAlign w:val="superscript"/>
        </w:rPr>
        <w:t>2</w:t>
      </w:r>
      <w:r>
        <w:rPr>
          <w:rFonts w:eastAsia="仿宋_GB2312"/>
          <w:kern w:val="0"/>
          <w:sz w:val="24"/>
        </w:rPr>
        <w:t>，其中永久占地6.37hm</w:t>
      </w:r>
      <w:r>
        <w:rPr>
          <w:rFonts w:eastAsia="仿宋_GB2312"/>
          <w:kern w:val="0"/>
          <w:sz w:val="24"/>
          <w:vertAlign w:val="superscript"/>
        </w:rPr>
        <w:t>2</w:t>
      </w:r>
      <w:r>
        <w:rPr>
          <w:rFonts w:eastAsia="仿宋_GB2312"/>
          <w:kern w:val="0"/>
          <w:sz w:val="24"/>
        </w:rPr>
        <w:t>，临时占地0.30hm</w:t>
      </w:r>
      <w:r>
        <w:rPr>
          <w:rFonts w:eastAsia="仿宋_GB2312"/>
          <w:kern w:val="0"/>
          <w:sz w:val="24"/>
          <w:vertAlign w:val="superscript"/>
        </w:rPr>
        <w:t>2</w:t>
      </w:r>
      <w:r>
        <w:rPr>
          <w:rFonts w:eastAsia="仿宋_GB2312"/>
          <w:kern w:val="0"/>
          <w:sz w:val="24"/>
        </w:rPr>
        <w:t>，临时占地主要为施工生产生活区用地，经咨询建设单位，</w:t>
      </w:r>
      <w:r>
        <w:rPr>
          <w:rFonts w:eastAsia="仿宋_GB2312"/>
          <w:sz w:val="24"/>
        </w:rPr>
        <w:t>本项目临建设施将移交给建设单位另一建设项目“茶园支十五路道路及配套工程”使用，且此临建设施区域将纳入道路工程验收</w:t>
      </w:r>
      <w:r>
        <w:rPr>
          <w:rFonts w:eastAsia="仿宋_GB2312"/>
          <w:kern w:val="0"/>
          <w:sz w:val="24"/>
        </w:rPr>
        <w:t>；</w:t>
      </w:r>
      <w:r>
        <w:rPr>
          <w:rFonts w:eastAsia="仿宋_GB2312"/>
          <w:sz w:val="24"/>
        </w:rPr>
        <w:t>项目原始占地类型按二级分类统计为其他林地1.61hm</w:t>
      </w:r>
      <w:r>
        <w:rPr>
          <w:rFonts w:eastAsia="仿宋_GB2312"/>
          <w:sz w:val="24"/>
          <w:vertAlign w:val="superscript"/>
        </w:rPr>
        <w:t>2</w:t>
      </w:r>
      <w:r>
        <w:rPr>
          <w:rFonts w:eastAsia="仿宋_GB2312"/>
          <w:sz w:val="24"/>
        </w:rPr>
        <w:t>，空闲地5.06hm</w:t>
      </w:r>
      <w:r>
        <w:rPr>
          <w:rFonts w:eastAsia="仿宋_GB2312"/>
          <w:sz w:val="24"/>
          <w:vertAlign w:val="superscript"/>
        </w:rPr>
        <w:t>2</w:t>
      </w:r>
      <w:r>
        <w:rPr>
          <w:rFonts w:eastAsia="仿宋_GB2312"/>
          <w:sz w:val="24"/>
        </w:rPr>
        <w:t>。</w:t>
      </w:r>
    </w:p>
    <w:p>
      <w:pPr>
        <w:autoSpaceDE w:val="0"/>
        <w:autoSpaceDN w:val="0"/>
        <w:adjustRightInd w:val="0"/>
        <w:spacing w:line="360" w:lineRule="auto"/>
        <w:ind w:firstLine="465"/>
        <w:rPr>
          <w:rFonts w:eastAsia="仿宋_GB2312"/>
          <w:sz w:val="24"/>
        </w:rPr>
      </w:pPr>
      <w:r>
        <w:rPr>
          <w:rFonts w:eastAsia="仿宋_GB2312"/>
          <w:b/>
          <w:kern w:val="0"/>
          <w:sz w:val="24"/>
        </w:rPr>
        <w:t>土石方量</w:t>
      </w:r>
      <w:r>
        <w:rPr>
          <w:rFonts w:eastAsia="仿宋_GB2312"/>
          <w:kern w:val="0"/>
          <w:sz w:val="24"/>
        </w:rPr>
        <w:t>：本项目挖方量</w:t>
      </w:r>
      <w:r>
        <w:rPr>
          <w:rFonts w:hint="eastAsia" w:eastAsia="仿宋_GB2312"/>
          <w:kern w:val="0"/>
          <w:sz w:val="24"/>
        </w:rPr>
        <w:t>约</w:t>
      </w:r>
      <w:r>
        <w:rPr>
          <w:rFonts w:eastAsia="仿宋_GB2312"/>
          <w:kern w:val="0"/>
          <w:sz w:val="24"/>
        </w:rPr>
        <w:t>为45万m</w:t>
      </w:r>
      <w:r>
        <w:rPr>
          <w:rFonts w:eastAsia="仿宋_GB2312"/>
          <w:kern w:val="0"/>
          <w:sz w:val="24"/>
          <w:vertAlign w:val="superscript"/>
        </w:rPr>
        <w:t>3</w:t>
      </w:r>
      <w:r>
        <w:rPr>
          <w:rFonts w:eastAsia="仿宋_GB2312"/>
          <w:kern w:val="0"/>
          <w:sz w:val="24"/>
        </w:rPr>
        <w:t>，填</w:t>
      </w:r>
      <w:r>
        <w:rPr>
          <w:rFonts w:hint="eastAsia" w:eastAsia="仿宋_GB2312"/>
          <w:kern w:val="0"/>
          <w:sz w:val="24"/>
        </w:rPr>
        <w:t>方量约为0</w:t>
      </w:r>
      <w:r>
        <w:rPr>
          <w:rFonts w:eastAsia="仿宋_GB2312"/>
          <w:kern w:val="0"/>
          <w:sz w:val="24"/>
        </w:rPr>
        <w:t>.20</w:t>
      </w:r>
      <w:r>
        <w:rPr>
          <w:rFonts w:hint="eastAsia" w:eastAsia="仿宋_GB2312"/>
          <w:kern w:val="0"/>
          <w:sz w:val="24"/>
        </w:rPr>
        <w:t>万</w:t>
      </w:r>
      <w:r>
        <w:rPr>
          <w:rFonts w:eastAsia="仿宋_GB2312"/>
          <w:kern w:val="0"/>
          <w:sz w:val="24"/>
        </w:rPr>
        <w:t>m</w:t>
      </w:r>
      <w:r>
        <w:rPr>
          <w:rFonts w:eastAsia="仿宋_GB2312"/>
          <w:kern w:val="0"/>
          <w:sz w:val="24"/>
          <w:vertAlign w:val="superscript"/>
        </w:rPr>
        <w:t>3</w:t>
      </w:r>
      <w:r>
        <w:rPr>
          <w:rFonts w:eastAsia="仿宋_GB2312"/>
          <w:kern w:val="0"/>
          <w:sz w:val="24"/>
        </w:rPr>
        <w:t>，弃方44.80万m</w:t>
      </w:r>
      <w:r>
        <w:rPr>
          <w:rFonts w:eastAsia="仿宋_GB2312"/>
          <w:kern w:val="0"/>
          <w:sz w:val="24"/>
          <w:vertAlign w:val="superscript"/>
        </w:rPr>
        <w:t>3</w:t>
      </w:r>
      <w:r>
        <w:rPr>
          <w:rFonts w:eastAsia="仿宋_GB2312"/>
          <w:kern w:val="0"/>
          <w:sz w:val="24"/>
        </w:rPr>
        <w:t>，弃方全部运往经开区峡口镇土石方消纳场处置</w:t>
      </w:r>
      <w:r>
        <w:rPr>
          <w:rFonts w:eastAsia="仿宋_GB2312"/>
          <w:sz w:val="24"/>
        </w:rPr>
        <w:t>。</w:t>
      </w:r>
    </w:p>
    <w:p>
      <w:pPr>
        <w:autoSpaceDE w:val="0"/>
        <w:autoSpaceDN w:val="0"/>
        <w:adjustRightInd w:val="0"/>
        <w:spacing w:line="360" w:lineRule="auto"/>
        <w:ind w:firstLine="482" w:firstLineChars="200"/>
        <w:rPr>
          <w:rFonts w:eastAsia="仿宋_GB2312"/>
          <w:kern w:val="0"/>
          <w:sz w:val="24"/>
        </w:rPr>
      </w:pPr>
      <w:r>
        <w:rPr>
          <w:rFonts w:eastAsia="仿宋_GB2312"/>
          <w:b/>
          <w:bCs/>
          <w:sz w:val="24"/>
        </w:rPr>
        <w:t>工程投资：</w:t>
      </w:r>
      <w:r>
        <w:rPr>
          <w:rFonts w:eastAsia="仿宋_GB2312"/>
          <w:sz w:val="24"/>
          <w:szCs w:val="28"/>
        </w:rPr>
        <w:t>工程总投资94930.4万元，其中土建投资63286.9万元，工程投资全部来源于业主自筹</w:t>
      </w:r>
      <w:r>
        <w:rPr>
          <w:rFonts w:eastAsia="仿宋_GB2312"/>
          <w:kern w:val="0"/>
          <w:sz w:val="24"/>
        </w:rPr>
        <w:t>。</w:t>
      </w:r>
    </w:p>
    <w:p>
      <w:pPr>
        <w:autoSpaceDE w:val="0"/>
        <w:autoSpaceDN w:val="0"/>
        <w:adjustRightInd w:val="0"/>
        <w:spacing w:line="360" w:lineRule="auto"/>
        <w:ind w:firstLine="482" w:firstLineChars="200"/>
        <w:rPr>
          <w:rFonts w:eastAsia="仿宋_GB2312"/>
          <w:kern w:val="0"/>
          <w:sz w:val="24"/>
        </w:rPr>
      </w:pPr>
      <w:r>
        <w:rPr>
          <w:rFonts w:eastAsia="仿宋_GB2312"/>
          <w:b/>
          <w:kern w:val="0"/>
          <w:sz w:val="24"/>
        </w:rPr>
        <w:t>建设工期</w:t>
      </w:r>
      <w:r>
        <w:rPr>
          <w:rFonts w:eastAsia="仿宋_GB2312"/>
          <w:kern w:val="0"/>
          <w:sz w:val="24"/>
        </w:rPr>
        <w:t>：本项目于2021年10月开工建设，2023年3月完工，建设总工期18个月。</w:t>
      </w:r>
    </w:p>
    <w:p>
      <w:pPr>
        <w:autoSpaceDE w:val="0"/>
        <w:autoSpaceDN w:val="0"/>
        <w:adjustRightInd w:val="0"/>
        <w:spacing w:line="360" w:lineRule="auto"/>
        <w:ind w:firstLine="482" w:firstLineChars="200"/>
        <w:rPr>
          <w:rFonts w:eastAsia="仿宋_GB2312"/>
          <w:bCs/>
          <w:kern w:val="0"/>
          <w:sz w:val="24"/>
        </w:rPr>
      </w:pPr>
      <w:r>
        <w:rPr>
          <w:rFonts w:eastAsia="仿宋_GB2312"/>
          <w:b/>
          <w:bCs/>
          <w:kern w:val="0"/>
          <w:sz w:val="24"/>
        </w:rPr>
        <w:t>拆迁（移民）安置与专项设施改（迁）建：</w:t>
      </w:r>
      <w:r>
        <w:rPr>
          <w:rFonts w:eastAsia="仿宋_GB2312"/>
          <w:bCs/>
          <w:kern w:val="0"/>
          <w:sz w:val="24"/>
        </w:rPr>
        <w:t>本项目不涉及拆迁安置及专项设施建设。</w:t>
      </w:r>
    </w:p>
    <w:p>
      <w:pPr>
        <w:autoSpaceDE w:val="0"/>
        <w:autoSpaceDN w:val="0"/>
        <w:adjustRightInd w:val="0"/>
        <w:spacing w:line="360" w:lineRule="auto"/>
        <w:ind w:firstLine="482" w:firstLineChars="200"/>
        <w:rPr>
          <w:rFonts w:eastAsia="仿宋_GB2312"/>
          <w:kern w:val="0"/>
          <w:sz w:val="24"/>
        </w:rPr>
      </w:pPr>
      <w:r>
        <w:rPr>
          <w:rFonts w:eastAsia="仿宋_GB2312"/>
          <w:b/>
          <w:kern w:val="0"/>
          <w:sz w:val="24"/>
        </w:rPr>
        <w:t>参建单位</w:t>
      </w:r>
      <w:r>
        <w:rPr>
          <w:rFonts w:eastAsia="仿宋_GB2312"/>
          <w:kern w:val="0"/>
          <w:sz w:val="24"/>
        </w:rPr>
        <w:t>：本工程建设单位为</w:t>
      </w:r>
      <w:r>
        <w:rPr>
          <w:rFonts w:eastAsia="仿宋_GB2312"/>
          <w:sz w:val="24"/>
          <w:szCs w:val="28"/>
        </w:rPr>
        <w:t>重庆经开区开发建设有限公司</w:t>
      </w:r>
      <w:r>
        <w:rPr>
          <w:rFonts w:eastAsia="仿宋_GB2312"/>
          <w:kern w:val="0"/>
          <w:sz w:val="24"/>
        </w:rPr>
        <w:t>，勘察单位为</w:t>
      </w:r>
      <w:r>
        <w:rPr>
          <w:rFonts w:eastAsia="仿宋_GB2312"/>
          <w:sz w:val="24"/>
          <w:szCs w:val="28"/>
        </w:rPr>
        <w:t>中煤科工重庆设计研究院（集团）有限公司</w:t>
      </w:r>
      <w:r>
        <w:rPr>
          <w:rFonts w:eastAsia="仿宋_GB2312"/>
          <w:kern w:val="0"/>
          <w:sz w:val="24"/>
        </w:rPr>
        <w:t>，主体设计单位为</w:t>
      </w:r>
      <w:r>
        <w:rPr>
          <w:rFonts w:eastAsia="仿宋_GB2312"/>
          <w:sz w:val="24"/>
        </w:rPr>
        <w:t>东南大学建筑设计研究院有限公司</w:t>
      </w:r>
      <w:r>
        <w:rPr>
          <w:rFonts w:eastAsia="仿宋_GB2312"/>
          <w:kern w:val="0"/>
          <w:sz w:val="24"/>
        </w:rPr>
        <w:t>，施工单位为</w:t>
      </w:r>
      <w:r>
        <w:rPr>
          <w:rFonts w:eastAsia="仿宋_GB2312"/>
          <w:sz w:val="24"/>
        </w:rPr>
        <w:t>渝建实业集团股份有限公司</w:t>
      </w:r>
      <w:r>
        <w:rPr>
          <w:rFonts w:eastAsia="仿宋_GB2312"/>
          <w:kern w:val="0"/>
          <w:sz w:val="24"/>
        </w:rPr>
        <w:t>，监理单位为</w:t>
      </w:r>
      <w:r>
        <w:rPr>
          <w:rFonts w:eastAsia="仿宋_GB2312"/>
          <w:sz w:val="24"/>
        </w:rPr>
        <w:t>重庆赛迪工程咨询有限公司，水保监测单位为中云智德（重庆）环境技术有限公司</w:t>
      </w:r>
      <w:r>
        <w:rPr>
          <w:rFonts w:eastAsia="仿宋_GB2312"/>
          <w:kern w:val="0"/>
          <w:sz w:val="24"/>
        </w:rPr>
        <w:t>。</w:t>
      </w:r>
    </w:p>
    <w:p>
      <w:pPr>
        <w:widowControl/>
        <w:adjustRightInd w:val="0"/>
        <w:spacing w:line="360" w:lineRule="auto"/>
        <w:jc w:val="left"/>
        <w:rPr>
          <w:rFonts w:eastAsia="仿宋"/>
          <w:b/>
          <w:sz w:val="24"/>
        </w:rPr>
      </w:pPr>
      <w:r>
        <w:rPr>
          <w:rFonts w:eastAsia="仿宋"/>
          <w:b/>
          <w:sz w:val="24"/>
        </w:rPr>
        <w:br w:type="page"/>
      </w:r>
    </w:p>
    <w:p>
      <w:pPr>
        <w:adjustRightInd w:val="0"/>
        <w:spacing w:line="360" w:lineRule="auto"/>
        <w:ind w:firstLine="361" w:firstLineChars="150"/>
        <w:jc w:val="center"/>
        <w:rPr>
          <w:rFonts w:eastAsia="仿宋_GB2312"/>
          <w:b/>
          <w:sz w:val="24"/>
        </w:rPr>
      </w:pPr>
      <w:r>
        <w:rPr>
          <w:rFonts w:eastAsia="仿宋"/>
          <w:b/>
          <w:sz w:val="24"/>
        </w:rPr>
        <w:t xml:space="preserve">表1-1 </w:t>
      </w:r>
      <w:r>
        <w:rPr>
          <w:rFonts w:eastAsia="仿宋_GB2312"/>
          <w:b/>
          <w:sz w:val="24"/>
        </w:rPr>
        <w:t>项目主要经济技术指标表</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962"/>
        <w:gridCol w:w="2565"/>
        <w:gridCol w:w="1553"/>
        <w:gridCol w:w="1811"/>
        <w:gridCol w:w="1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92" w:type="pct"/>
            <w:gridSpan w:val="3"/>
            <w:shd w:val="clear" w:color="auto" w:fill="auto"/>
            <w:noWrap/>
            <w:vAlign w:val="center"/>
          </w:tcPr>
          <w:p>
            <w:pPr>
              <w:widowControl/>
              <w:adjustRightInd w:val="0"/>
              <w:jc w:val="center"/>
              <w:rPr>
                <w:rFonts w:eastAsia="等线"/>
                <w:b/>
                <w:bCs/>
                <w:kern w:val="0"/>
                <w:szCs w:val="21"/>
              </w:rPr>
            </w:pPr>
            <w:r>
              <w:rPr>
                <w:rFonts w:eastAsia="仿宋_GB2312"/>
                <w:b/>
                <w:bCs/>
                <w:kern w:val="0"/>
                <w:szCs w:val="21"/>
              </w:rPr>
              <w:t>项目</w:t>
            </w:r>
          </w:p>
        </w:tc>
        <w:tc>
          <w:tcPr>
            <w:tcW w:w="836" w:type="pct"/>
            <w:shd w:val="clear" w:color="auto" w:fill="auto"/>
            <w:noWrap/>
            <w:vAlign w:val="center"/>
          </w:tcPr>
          <w:p>
            <w:pPr>
              <w:widowControl/>
              <w:adjustRightInd w:val="0"/>
              <w:jc w:val="center"/>
              <w:rPr>
                <w:rFonts w:eastAsia="等线"/>
                <w:b/>
                <w:bCs/>
                <w:kern w:val="0"/>
                <w:szCs w:val="21"/>
              </w:rPr>
            </w:pPr>
            <w:r>
              <w:rPr>
                <w:rFonts w:eastAsia="仿宋_GB2312"/>
                <w:b/>
                <w:bCs/>
                <w:kern w:val="0"/>
                <w:szCs w:val="21"/>
              </w:rPr>
              <w:t>规划条件</w:t>
            </w:r>
          </w:p>
        </w:tc>
        <w:tc>
          <w:tcPr>
            <w:tcW w:w="975" w:type="pct"/>
            <w:shd w:val="clear" w:color="auto" w:fill="auto"/>
            <w:noWrap/>
            <w:vAlign w:val="center"/>
          </w:tcPr>
          <w:p>
            <w:pPr>
              <w:widowControl/>
              <w:adjustRightInd w:val="0"/>
              <w:jc w:val="center"/>
              <w:rPr>
                <w:rFonts w:eastAsia="等线"/>
                <w:b/>
                <w:bCs/>
                <w:kern w:val="0"/>
                <w:szCs w:val="21"/>
              </w:rPr>
            </w:pPr>
            <w:r>
              <w:rPr>
                <w:rFonts w:eastAsia="仿宋_GB2312"/>
                <w:b/>
                <w:bCs/>
                <w:kern w:val="0"/>
                <w:szCs w:val="21"/>
              </w:rPr>
              <w:t>设计数值</w:t>
            </w:r>
          </w:p>
        </w:tc>
        <w:tc>
          <w:tcPr>
            <w:tcW w:w="797" w:type="pct"/>
            <w:shd w:val="clear" w:color="auto" w:fill="auto"/>
            <w:noWrap/>
            <w:vAlign w:val="center"/>
          </w:tcPr>
          <w:p>
            <w:pPr>
              <w:widowControl/>
              <w:adjustRightInd w:val="0"/>
              <w:jc w:val="center"/>
              <w:rPr>
                <w:rFonts w:eastAsia="等线"/>
                <w:b/>
                <w:bCs/>
                <w:kern w:val="0"/>
                <w:szCs w:val="21"/>
              </w:rPr>
            </w:pPr>
            <w:r>
              <w:rPr>
                <w:rFonts w:eastAsia="仿宋_GB2312"/>
                <w:b/>
                <w:bCs/>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建设用地面积（m</w:t>
            </w:r>
            <w:r>
              <w:rPr>
                <w:rFonts w:eastAsia="仿宋_GB2312"/>
                <w:kern w:val="0"/>
                <w:szCs w:val="21"/>
                <w:vertAlign w:val="superscript"/>
              </w:rPr>
              <w:t>2</w:t>
            </w:r>
            <w:r>
              <w:rPr>
                <w:rFonts w:eastAsia="仿宋_GB2312"/>
                <w:kern w:val="0"/>
                <w:szCs w:val="21"/>
              </w:rPr>
              <w:t>）</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63629.90</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63629.90</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居住户数</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hint="eastAsia"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居住人口</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hint="eastAsia"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总建筑面积（m</w:t>
            </w:r>
            <w:r>
              <w:rPr>
                <w:rFonts w:eastAsia="仿宋_GB2312"/>
                <w:kern w:val="0"/>
                <w:szCs w:val="21"/>
                <w:vertAlign w:val="superscript"/>
              </w:rPr>
              <w:t>2</w:t>
            </w:r>
            <w:r>
              <w:rPr>
                <w:rFonts w:eastAsia="仿宋_GB2312"/>
                <w:kern w:val="0"/>
                <w:szCs w:val="21"/>
              </w:rPr>
              <w:t>）</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99874.37</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restart"/>
            <w:shd w:val="clear" w:color="auto" w:fill="auto"/>
            <w:noWrap/>
            <w:vAlign w:val="center"/>
          </w:tcPr>
          <w:p>
            <w:pPr>
              <w:widowControl/>
              <w:adjustRightInd w:val="0"/>
              <w:jc w:val="center"/>
              <w:rPr>
                <w:rFonts w:eastAsia="等线"/>
                <w:kern w:val="0"/>
                <w:szCs w:val="21"/>
              </w:rPr>
            </w:pPr>
            <w:r>
              <w:rPr>
                <w:rFonts w:eastAsia="仿宋_GB2312"/>
                <w:kern w:val="0"/>
                <w:szCs w:val="21"/>
              </w:rPr>
              <w:t>其中</w:t>
            </w:r>
          </w:p>
        </w:tc>
        <w:tc>
          <w:tcPr>
            <w:tcW w:w="1899" w:type="pct"/>
            <w:gridSpan w:val="2"/>
            <w:shd w:val="clear" w:color="auto" w:fill="auto"/>
            <w:noWrap/>
            <w:vAlign w:val="center"/>
          </w:tcPr>
          <w:p>
            <w:pPr>
              <w:widowControl/>
              <w:adjustRightInd w:val="0"/>
              <w:jc w:val="left"/>
              <w:rPr>
                <w:rFonts w:eastAsia="等线"/>
                <w:kern w:val="0"/>
                <w:szCs w:val="21"/>
              </w:rPr>
            </w:pPr>
            <w:r>
              <w:rPr>
                <w:rFonts w:eastAsia="仿宋_GB2312"/>
                <w:kern w:val="0"/>
                <w:szCs w:val="21"/>
              </w:rPr>
              <w:t>地上建筑面积（m</w:t>
            </w:r>
            <w:r>
              <w:rPr>
                <w:rFonts w:eastAsia="仿宋_GB2312"/>
                <w:kern w:val="0"/>
                <w:szCs w:val="21"/>
                <w:vertAlign w:val="superscript"/>
              </w:rPr>
              <w:t>2</w:t>
            </w:r>
            <w:r>
              <w:rPr>
                <w:rFonts w:eastAsia="仿宋_GB2312"/>
                <w:kern w:val="0"/>
                <w:szCs w:val="21"/>
              </w:rPr>
              <w:t>）</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91696.38</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1899" w:type="pct"/>
            <w:gridSpan w:val="2"/>
            <w:shd w:val="clear" w:color="auto" w:fill="auto"/>
            <w:noWrap/>
            <w:vAlign w:val="center"/>
          </w:tcPr>
          <w:p>
            <w:pPr>
              <w:widowControl/>
              <w:adjustRightInd w:val="0"/>
              <w:jc w:val="left"/>
              <w:rPr>
                <w:rFonts w:eastAsia="等线"/>
                <w:kern w:val="0"/>
                <w:szCs w:val="21"/>
              </w:rPr>
            </w:pPr>
            <w:r>
              <w:rPr>
                <w:rFonts w:eastAsia="仿宋_GB2312"/>
                <w:kern w:val="0"/>
                <w:szCs w:val="21"/>
              </w:rPr>
              <w:t>地下建筑面积（m</w:t>
            </w:r>
            <w:r>
              <w:rPr>
                <w:rFonts w:eastAsia="仿宋_GB2312"/>
                <w:kern w:val="0"/>
                <w:szCs w:val="21"/>
                <w:vertAlign w:val="superscript"/>
              </w:rPr>
              <w:t>2</w:t>
            </w:r>
            <w:r>
              <w:rPr>
                <w:rFonts w:eastAsia="仿宋_GB2312"/>
                <w:kern w:val="0"/>
                <w:szCs w:val="21"/>
              </w:rPr>
              <w:t>）</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8177.99</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restart"/>
            <w:shd w:val="clear" w:color="auto" w:fill="auto"/>
            <w:noWrap/>
            <w:vAlign w:val="center"/>
          </w:tcPr>
          <w:p>
            <w:pPr>
              <w:adjustRightInd w:val="0"/>
              <w:jc w:val="center"/>
              <w:rPr>
                <w:rFonts w:eastAsia="等线"/>
                <w:kern w:val="0"/>
                <w:szCs w:val="21"/>
              </w:rPr>
            </w:pPr>
          </w:p>
        </w:tc>
        <w:tc>
          <w:tcPr>
            <w:tcW w:w="1899" w:type="pct"/>
            <w:gridSpan w:val="2"/>
            <w:shd w:val="clear" w:color="auto" w:fill="auto"/>
            <w:noWrap/>
            <w:vAlign w:val="center"/>
          </w:tcPr>
          <w:p>
            <w:pPr>
              <w:widowControl/>
              <w:adjustRightInd w:val="0"/>
              <w:jc w:val="left"/>
              <w:rPr>
                <w:rFonts w:eastAsia="等线"/>
                <w:kern w:val="0"/>
                <w:szCs w:val="21"/>
              </w:rPr>
            </w:pPr>
            <w:r>
              <w:rPr>
                <w:rFonts w:eastAsia="等线"/>
                <w:kern w:val="0"/>
                <w:szCs w:val="21"/>
              </w:rPr>
              <w:t>1</w:t>
            </w:r>
            <w:r>
              <w:rPr>
                <w:rFonts w:eastAsia="仿宋_GB2312"/>
                <w:kern w:val="0"/>
                <w:szCs w:val="21"/>
              </w:rPr>
              <w:t>、居住</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1899" w:type="pct"/>
            <w:gridSpan w:val="2"/>
            <w:shd w:val="clear" w:color="auto" w:fill="auto"/>
            <w:noWrap/>
            <w:vAlign w:val="center"/>
          </w:tcPr>
          <w:p>
            <w:pPr>
              <w:widowControl/>
              <w:adjustRightInd w:val="0"/>
              <w:jc w:val="left"/>
              <w:rPr>
                <w:rFonts w:eastAsia="等线"/>
                <w:kern w:val="0"/>
                <w:szCs w:val="21"/>
              </w:rPr>
            </w:pPr>
            <w:r>
              <w:rPr>
                <w:rFonts w:eastAsia="等线"/>
                <w:kern w:val="0"/>
                <w:szCs w:val="21"/>
              </w:rPr>
              <w:t>2</w:t>
            </w:r>
            <w:r>
              <w:rPr>
                <w:rFonts w:eastAsia="仿宋_GB2312"/>
                <w:kern w:val="0"/>
                <w:szCs w:val="21"/>
              </w:rPr>
              <w:t>、配套用房</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518" w:type="pct"/>
            <w:vMerge w:val="restart"/>
            <w:shd w:val="clear" w:color="auto" w:fill="auto"/>
            <w:noWrap/>
            <w:vAlign w:val="center"/>
          </w:tcPr>
          <w:p>
            <w:pPr>
              <w:widowControl/>
              <w:adjustRightInd w:val="0"/>
              <w:jc w:val="center"/>
              <w:rPr>
                <w:rFonts w:eastAsia="仿宋_GB2312"/>
                <w:kern w:val="0"/>
                <w:szCs w:val="21"/>
              </w:rPr>
            </w:pPr>
            <w:r>
              <w:rPr>
                <w:rFonts w:eastAsia="仿宋_GB2312"/>
                <w:kern w:val="0"/>
                <w:szCs w:val="21"/>
              </w:rPr>
              <w:t>其中</w:t>
            </w:r>
          </w:p>
        </w:tc>
        <w:tc>
          <w:tcPr>
            <w:tcW w:w="1381" w:type="pct"/>
            <w:shd w:val="clear" w:color="auto" w:fill="auto"/>
            <w:vAlign w:val="center"/>
          </w:tcPr>
          <w:p>
            <w:pPr>
              <w:adjustRightInd w:val="0"/>
              <w:jc w:val="left"/>
              <w:rPr>
                <w:rFonts w:eastAsia="等线"/>
                <w:kern w:val="0"/>
                <w:szCs w:val="21"/>
              </w:rPr>
            </w:pPr>
            <w:r>
              <w:rPr>
                <w:rFonts w:eastAsia="等线"/>
                <w:kern w:val="0"/>
                <w:szCs w:val="21"/>
              </w:rPr>
              <w:t>1</w:t>
            </w:r>
            <w:r>
              <w:rPr>
                <w:rFonts w:eastAsia="仿宋_GB2312"/>
                <w:kern w:val="0"/>
                <w:szCs w:val="21"/>
              </w:rPr>
              <w:t>）幼儿园</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518" w:type="pct"/>
            <w:vMerge w:val="continue"/>
            <w:shd w:val="clear" w:color="auto" w:fill="auto"/>
            <w:noWrap/>
            <w:vAlign w:val="center"/>
          </w:tcPr>
          <w:p>
            <w:pPr>
              <w:widowControl/>
              <w:adjustRightInd w:val="0"/>
              <w:jc w:val="center"/>
              <w:rPr>
                <w:rFonts w:eastAsia="等线"/>
                <w:kern w:val="0"/>
                <w:szCs w:val="21"/>
              </w:rPr>
            </w:pPr>
          </w:p>
        </w:tc>
        <w:tc>
          <w:tcPr>
            <w:tcW w:w="1381" w:type="pct"/>
            <w:shd w:val="clear" w:color="auto" w:fill="auto"/>
            <w:vAlign w:val="center"/>
          </w:tcPr>
          <w:p>
            <w:pPr>
              <w:adjustRightInd w:val="0"/>
              <w:jc w:val="left"/>
              <w:rPr>
                <w:rFonts w:eastAsia="等线"/>
                <w:kern w:val="0"/>
                <w:szCs w:val="21"/>
              </w:rPr>
            </w:pPr>
            <w:r>
              <w:rPr>
                <w:rFonts w:eastAsia="等线"/>
                <w:kern w:val="0"/>
                <w:szCs w:val="21"/>
              </w:rPr>
              <w:t>2</w:t>
            </w:r>
            <w:r>
              <w:rPr>
                <w:rFonts w:eastAsia="仿宋_GB2312"/>
                <w:kern w:val="0"/>
                <w:szCs w:val="21"/>
              </w:rPr>
              <w:t>）社区组织工作用房</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518" w:type="pct"/>
            <w:vMerge w:val="continue"/>
            <w:shd w:val="clear" w:color="auto" w:fill="auto"/>
            <w:noWrap/>
            <w:vAlign w:val="center"/>
          </w:tcPr>
          <w:p>
            <w:pPr>
              <w:widowControl/>
              <w:adjustRightInd w:val="0"/>
              <w:jc w:val="center"/>
              <w:rPr>
                <w:rFonts w:eastAsia="等线"/>
                <w:kern w:val="0"/>
                <w:szCs w:val="21"/>
              </w:rPr>
            </w:pPr>
          </w:p>
        </w:tc>
        <w:tc>
          <w:tcPr>
            <w:tcW w:w="1381" w:type="pct"/>
            <w:shd w:val="clear" w:color="auto" w:fill="auto"/>
            <w:vAlign w:val="center"/>
          </w:tcPr>
          <w:p>
            <w:pPr>
              <w:adjustRightInd w:val="0"/>
              <w:jc w:val="left"/>
              <w:rPr>
                <w:rFonts w:eastAsia="仿宋_GB2312"/>
                <w:kern w:val="0"/>
                <w:szCs w:val="21"/>
              </w:rPr>
            </w:pPr>
            <w:r>
              <w:rPr>
                <w:rFonts w:eastAsia="仿宋_GB2312"/>
                <w:kern w:val="0"/>
                <w:szCs w:val="21"/>
              </w:rPr>
              <w:t>3）物业管理用房</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518" w:type="pct"/>
            <w:vMerge w:val="continue"/>
            <w:shd w:val="clear" w:color="auto" w:fill="auto"/>
            <w:noWrap/>
            <w:vAlign w:val="center"/>
          </w:tcPr>
          <w:p>
            <w:pPr>
              <w:widowControl/>
              <w:adjustRightInd w:val="0"/>
              <w:jc w:val="center"/>
              <w:rPr>
                <w:rFonts w:eastAsia="等线"/>
                <w:kern w:val="0"/>
                <w:szCs w:val="21"/>
              </w:rPr>
            </w:pPr>
          </w:p>
        </w:tc>
        <w:tc>
          <w:tcPr>
            <w:tcW w:w="1381" w:type="pct"/>
            <w:shd w:val="clear" w:color="auto" w:fill="auto"/>
            <w:vAlign w:val="center"/>
          </w:tcPr>
          <w:p>
            <w:pPr>
              <w:adjustRightInd w:val="0"/>
              <w:jc w:val="left"/>
              <w:rPr>
                <w:rFonts w:eastAsia="仿宋_GB2312"/>
                <w:kern w:val="0"/>
                <w:szCs w:val="21"/>
              </w:rPr>
            </w:pPr>
            <w:r>
              <w:rPr>
                <w:rFonts w:eastAsia="仿宋_GB2312"/>
                <w:kern w:val="0"/>
                <w:szCs w:val="21"/>
              </w:rPr>
              <w:t>4）公厕</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1899" w:type="pct"/>
            <w:gridSpan w:val="2"/>
            <w:shd w:val="clear" w:color="auto" w:fill="auto"/>
            <w:noWrap/>
            <w:vAlign w:val="center"/>
          </w:tcPr>
          <w:p>
            <w:pPr>
              <w:widowControl/>
              <w:adjustRightInd w:val="0"/>
              <w:jc w:val="left"/>
              <w:rPr>
                <w:rFonts w:eastAsia="等线"/>
                <w:kern w:val="0"/>
                <w:szCs w:val="21"/>
              </w:rPr>
            </w:pPr>
            <w:r>
              <w:rPr>
                <w:rFonts w:eastAsia="等线"/>
                <w:kern w:val="0"/>
                <w:szCs w:val="21"/>
              </w:rPr>
              <w:t>3</w:t>
            </w:r>
            <w:r>
              <w:rPr>
                <w:rFonts w:eastAsia="仿宋_GB2312"/>
                <w:kern w:val="0"/>
                <w:szCs w:val="21"/>
              </w:rPr>
              <w:t>、公建（m</w:t>
            </w:r>
            <w:r>
              <w:rPr>
                <w:rFonts w:eastAsia="仿宋_GB2312"/>
                <w:kern w:val="0"/>
                <w:szCs w:val="21"/>
                <w:vertAlign w:val="superscript"/>
              </w:rPr>
              <w:t>2</w:t>
            </w:r>
            <w:r>
              <w:rPr>
                <w:rFonts w:eastAsia="仿宋_GB2312"/>
                <w:kern w:val="0"/>
                <w:szCs w:val="21"/>
              </w:rPr>
              <w:t>）</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88965.8</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1899" w:type="pct"/>
            <w:gridSpan w:val="2"/>
            <w:shd w:val="clear" w:color="auto" w:fill="auto"/>
            <w:noWrap/>
            <w:vAlign w:val="center"/>
          </w:tcPr>
          <w:p>
            <w:pPr>
              <w:widowControl/>
              <w:adjustRightInd w:val="0"/>
              <w:jc w:val="left"/>
              <w:rPr>
                <w:rFonts w:eastAsia="等线"/>
                <w:kern w:val="0"/>
                <w:szCs w:val="21"/>
              </w:rPr>
            </w:pPr>
            <w:r>
              <w:rPr>
                <w:rFonts w:eastAsia="等线"/>
                <w:kern w:val="0"/>
                <w:szCs w:val="21"/>
              </w:rPr>
              <w:t>4</w:t>
            </w:r>
            <w:r>
              <w:rPr>
                <w:rFonts w:eastAsia="仿宋_GB2312"/>
                <w:kern w:val="0"/>
                <w:szCs w:val="21"/>
              </w:rPr>
              <w:t>、车库（m</w:t>
            </w:r>
            <w:r>
              <w:rPr>
                <w:rFonts w:eastAsia="仿宋_GB2312"/>
                <w:kern w:val="0"/>
                <w:szCs w:val="21"/>
                <w:vertAlign w:val="superscript"/>
              </w:rPr>
              <w:t>2</w:t>
            </w:r>
            <w:r>
              <w:rPr>
                <w:rFonts w:eastAsia="仿宋_GB2312"/>
                <w:kern w:val="0"/>
                <w:szCs w:val="21"/>
              </w:rPr>
              <w:t>）</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10908.57</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1899" w:type="pct"/>
            <w:gridSpan w:val="2"/>
            <w:shd w:val="clear" w:color="auto" w:fill="auto"/>
            <w:noWrap/>
            <w:vAlign w:val="center"/>
          </w:tcPr>
          <w:p>
            <w:pPr>
              <w:widowControl/>
              <w:adjustRightInd w:val="0"/>
              <w:jc w:val="left"/>
              <w:rPr>
                <w:rFonts w:eastAsia="等线"/>
                <w:kern w:val="0"/>
                <w:szCs w:val="21"/>
              </w:rPr>
            </w:pPr>
            <w:r>
              <w:rPr>
                <w:rFonts w:eastAsia="等线"/>
                <w:kern w:val="0"/>
                <w:szCs w:val="21"/>
              </w:rPr>
              <w:t>5</w:t>
            </w:r>
            <w:r>
              <w:rPr>
                <w:rFonts w:eastAsia="仿宋_GB2312"/>
                <w:kern w:val="0"/>
                <w:szCs w:val="21"/>
              </w:rPr>
              <w:t>、设备用房（变电所）（m</w:t>
            </w:r>
            <w:r>
              <w:rPr>
                <w:rFonts w:eastAsia="仿宋_GB2312"/>
                <w:kern w:val="0"/>
                <w:szCs w:val="21"/>
                <w:vertAlign w:val="superscript"/>
              </w:rPr>
              <w:t>2</w:t>
            </w:r>
            <w:r>
              <w:rPr>
                <w:rFonts w:eastAsia="仿宋_GB2312"/>
                <w:kern w:val="0"/>
                <w:szCs w:val="21"/>
              </w:rPr>
              <w:t>）</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1899" w:type="pct"/>
            <w:gridSpan w:val="2"/>
            <w:shd w:val="clear" w:color="auto" w:fill="auto"/>
            <w:noWrap/>
            <w:vAlign w:val="center"/>
          </w:tcPr>
          <w:p>
            <w:pPr>
              <w:widowControl/>
              <w:adjustRightInd w:val="0"/>
              <w:jc w:val="left"/>
              <w:rPr>
                <w:rFonts w:eastAsia="等线"/>
                <w:kern w:val="0"/>
                <w:szCs w:val="21"/>
              </w:rPr>
            </w:pPr>
            <w:r>
              <w:rPr>
                <w:rFonts w:eastAsia="等线"/>
                <w:kern w:val="0"/>
                <w:szCs w:val="21"/>
              </w:rPr>
              <w:t>6</w:t>
            </w:r>
            <w:r>
              <w:rPr>
                <w:rFonts w:eastAsia="仿宋_GB2312"/>
                <w:kern w:val="0"/>
                <w:szCs w:val="21"/>
              </w:rPr>
              <w:t>、其他</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hint="eastAsia" w:eastAsia="等线"/>
                <w:kern w:val="0"/>
                <w:szCs w:val="21"/>
              </w:rPr>
              <w:t>0</w:t>
            </w:r>
            <w:r>
              <w:rPr>
                <w:rFonts w:eastAsia="等线"/>
                <w:kern w:val="0"/>
                <w:szCs w:val="21"/>
              </w:rPr>
              <w:t>.00</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总计容建筑面积（m</w:t>
            </w:r>
            <w:r>
              <w:rPr>
                <w:rFonts w:eastAsia="仿宋_GB2312"/>
                <w:kern w:val="0"/>
                <w:szCs w:val="21"/>
                <w:vertAlign w:val="superscript"/>
              </w:rPr>
              <w:t>2</w:t>
            </w:r>
            <w:r>
              <w:rPr>
                <w:rFonts w:eastAsia="仿宋_GB2312"/>
                <w:kern w:val="0"/>
                <w:szCs w:val="21"/>
              </w:rPr>
              <w:t>）</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93769.97</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容积率</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1.47</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建筑密度（%）</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51.25%</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绿地率（%）</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18.26%</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92" w:type="pct"/>
            <w:gridSpan w:val="3"/>
            <w:shd w:val="clear" w:color="auto" w:fill="auto"/>
            <w:noWrap/>
            <w:vAlign w:val="center"/>
          </w:tcPr>
          <w:p>
            <w:pPr>
              <w:widowControl/>
              <w:adjustRightInd w:val="0"/>
              <w:jc w:val="left"/>
              <w:rPr>
                <w:rFonts w:eastAsia="等线"/>
                <w:kern w:val="0"/>
                <w:szCs w:val="21"/>
              </w:rPr>
            </w:pPr>
            <w:r>
              <w:rPr>
                <w:rFonts w:eastAsia="仿宋_GB2312"/>
                <w:kern w:val="0"/>
                <w:szCs w:val="21"/>
              </w:rPr>
              <w:t>停车位（个）</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273</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restart"/>
            <w:shd w:val="clear" w:color="auto" w:fill="auto"/>
            <w:noWrap/>
            <w:vAlign w:val="center"/>
          </w:tcPr>
          <w:p>
            <w:pPr>
              <w:widowControl/>
              <w:adjustRightInd w:val="0"/>
              <w:jc w:val="center"/>
              <w:rPr>
                <w:rFonts w:eastAsia="等线"/>
                <w:kern w:val="0"/>
                <w:szCs w:val="21"/>
              </w:rPr>
            </w:pPr>
            <w:r>
              <w:rPr>
                <w:rFonts w:eastAsia="仿宋_GB2312"/>
                <w:kern w:val="0"/>
                <w:szCs w:val="21"/>
              </w:rPr>
              <w:t>其中</w:t>
            </w:r>
          </w:p>
        </w:tc>
        <w:tc>
          <w:tcPr>
            <w:tcW w:w="1899" w:type="pct"/>
            <w:gridSpan w:val="2"/>
            <w:shd w:val="clear" w:color="auto" w:fill="auto"/>
            <w:noWrap/>
            <w:vAlign w:val="center"/>
          </w:tcPr>
          <w:p>
            <w:pPr>
              <w:pStyle w:val="63"/>
              <w:widowControl/>
              <w:adjustRightInd w:val="0"/>
              <w:ind w:left="360" w:firstLine="0" w:firstLineChars="0"/>
              <w:rPr>
                <w:rFonts w:eastAsia="等线"/>
                <w:kern w:val="0"/>
                <w:szCs w:val="21"/>
              </w:rPr>
            </w:pPr>
            <w:r>
              <w:rPr>
                <w:kern w:val="0"/>
                <w:sz w:val="21"/>
                <w:szCs w:val="21"/>
              </w:rPr>
              <w:t>（1）室外（个）</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23</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3" w:type="pct"/>
            <w:vMerge w:val="continue"/>
            <w:vAlign w:val="center"/>
          </w:tcPr>
          <w:p>
            <w:pPr>
              <w:widowControl/>
              <w:adjustRightInd w:val="0"/>
              <w:jc w:val="center"/>
              <w:rPr>
                <w:rFonts w:eastAsia="等线"/>
                <w:kern w:val="0"/>
                <w:szCs w:val="21"/>
              </w:rPr>
            </w:pPr>
          </w:p>
        </w:tc>
        <w:tc>
          <w:tcPr>
            <w:tcW w:w="1899" w:type="pct"/>
            <w:gridSpan w:val="2"/>
            <w:shd w:val="clear" w:color="auto" w:fill="auto"/>
            <w:noWrap/>
            <w:vAlign w:val="center"/>
          </w:tcPr>
          <w:p>
            <w:pPr>
              <w:pStyle w:val="63"/>
              <w:widowControl/>
              <w:adjustRightInd w:val="0"/>
              <w:ind w:left="360" w:firstLine="0" w:firstLineChars="0"/>
              <w:rPr>
                <w:rFonts w:eastAsia="等线"/>
                <w:kern w:val="0"/>
                <w:szCs w:val="21"/>
              </w:rPr>
            </w:pPr>
            <w:r>
              <w:rPr>
                <w:kern w:val="0"/>
                <w:sz w:val="21"/>
                <w:szCs w:val="21"/>
              </w:rPr>
              <w:t>（2）室内（个）</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250</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392" w:type="pct"/>
            <w:gridSpan w:val="3"/>
            <w:shd w:val="clear" w:color="auto" w:fill="auto"/>
            <w:noWrap/>
            <w:vAlign w:val="center"/>
          </w:tcPr>
          <w:p>
            <w:pPr>
              <w:widowControl/>
              <w:adjustRightInd w:val="0"/>
              <w:jc w:val="center"/>
              <w:rPr>
                <w:rFonts w:eastAsia="等线"/>
                <w:kern w:val="0"/>
                <w:szCs w:val="21"/>
              </w:rPr>
            </w:pPr>
            <w:r>
              <w:rPr>
                <w:rFonts w:eastAsia="仿宋_GB2312"/>
                <w:kern w:val="0"/>
                <w:szCs w:val="21"/>
              </w:rPr>
              <w:t>建筑高度（层数）</w:t>
            </w:r>
          </w:p>
        </w:tc>
        <w:tc>
          <w:tcPr>
            <w:tcW w:w="836"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c>
          <w:tcPr>
            <w:tcW w:w="975" w:type="pct"/>
            <w:shd w:val="clear" w:color="auto" w:fill="auto"/>
            <w:noWrap/>
            <w:vAlign w:val="center"/>
          </w:tcPr>
          <w:p>
            <w:pPr>
              <w:widowControl/>
              <w:adjustRightInd w:val="0"/>
              <w:jc w:val="center"/>
              <w:rPr>
                <w:rFonts w:eastAsia="等线"/>
                <w:kern w:val="0"/>
                <w:szCs w:val="21"/>
              </w:rPr>
            </w:pPr>
            <w:r>
              <w:rPr>
                <w:rFonts w:eastAsia="等线"/>
                <w:kern w:val="0"/>
                <w:szCs w:val="21"/>
              </w:rPr>
              <w:t>23.98</w:t>
            </w:r>
            <w:r>
              <w:rPr>
                <w:rFonts w:eastAsia="仿宋_GB2312"/>
                <w:kern w:val="0"/>
                <w:szCs w:val="21"/>
              </w:rPr>
              <w:t>（</w:t>
            </w:r>
            <w:r>
              <w:rPr>
                <w:rFonts w:eastAsia="等线"/>
                <w:kern w:val="0"/>
                <w:szCs w:val="21"/>
              </w:rPr>
              <w:t>6F</w:t>
            </w:r>
            <w:r>
              <w:rPr>
                <w:rFonts w:eastAsia="仿宋_GB2312"/>
                <w:kern w:val="0"/>
                <w:szCs w:val="21"/>
              </w:rPr>
              <w:t>）</w:t>
            </w:r>
          </w:p>
        </w:tc>
        <w:tc>
          <w:tcPr>
            <w:tcW w:w="797" w:type="pct"/>
            <w:shd w:val="clear" w:color="auto" w:fill="auto"/>
            <w:noWrap/>
            <w:vAlign w:val="center"/>
          </w:tcPr>
          <w:p>
            <w:pPr>
              <w:widowControl/>
              <w:adjustRightInd w:val="0"/>
              <w:jc w:val="center"/>
              <w:rPr>
                <w:rFonts w:eastAsia="等线"/>
                <w:kern w:val="0"/>
                <w:szCs w:val="21"/>
              </w:rPr>
            </w:pPr>
            <w:r>
              <w:rPr>
                <w:rFonts w:eastAsia="等线"/>
                <w:kern w:val="0"/>
                <w:szCs w:val="21"/>
              </w:rPr>
              <w:t>/</w:t>
            </w:r>
          </w:p>
        </w:tc>
      </w:tr>
    </w:tbl>
    <w:p>
      <w:pPr>
        <w:pStyle w:val="4"/>
        <w:keepLines/>
        <w:topLinePunct/>
        <w:adjustRightInd w:val="0"/>
        <w:snapToGrid w:val="0"/>
        <w:spacing w:line="360" w:lineRule="auto"/>
        <w:rPr>
          <w:bCs w:val="0"/>
          <w:sz w:val="24"/>
          <w:szCs w:val="24"/>
          <w:lang w:val="en-US"/>
        </w:rPr>
      </w:pPr>
      <w:r>
        <w:rPr>
          <w:bCs w:val="0"/>
          <w:sz w:val="24"/>
          <w:szCs w:val="24"/>
        </w:rPr>
        <w:t>1.1.2 项目区</w:t>
      </w:r>
      <w:r>
        <w:rPr>
          <w:bCs w:val="0"/>
          <w:sz w:val="24"/>
          <w:szCs w:val="24"/>
          <w:lang w:eastAsia="zh-CN"/>
        </w:rPr>
        <w:t>自然</w:t>
      </w:r>
      <w:r>
        <w:rPr>
          <w:bCs w:val="0"/>
          <w:sz w:val="24"/>
          <w:szCs w:val="24"/>
        </w:rPr>
        <w:t>概况</w:t>
      </w:r>
    </w:p>
    <w:p>
      <w:pPr>
        <w:pStyle w:val="63"/>
        <w:numPr>
          <w:ilvl w:val="0"/>
          <w:numId w:val="1"/>
        </w:numPr>
        <w:autoSpaceDE w:val="0"/>
        <w:autoSpaceDN w:val="0"/>
        <w:adjustRightInd w:val="0"/>
        <w:spacing w:line="360" w:lineRule="auto"/>
        <w:ind w:left="709" w:firstLineChars="0"/>
        <w:rPr>
          <w:kern w:val="0"/>
        </w:rPr>
      </w:pPr>
      <w:r>
        <w:rPr>
          <w:kern w:val="0"/>
        </w:rPr>
        <w:t>地形地貌</w:t>
      </w:r>
    </w:p>
    <w:p>
      <w:pPr>
        <w:adjustRightInd w:val="0"/>
        <w:spacing w:line="360" w:lineRule="auto"/>
        <w:ind w:firstLine="480" w:firstLineChars="200"/>
        <w:rPr>
          <w:rFonts w:eastAsia="仿宋_GB2312"/>
          <w:bCs/>
          <w:sz w:val="24"/>
        </w:rPr>
      </w:pPr>
      <w:r>
        <w:rPr>
          <w:rFonts w:eastAsia="仿宋_GB2312"/>
          <w:bCs/>
          <w:sz w:val="24"/>
        </w:rPr>
        <w:t>场地原属构造侵蚀—剥蚀斜坡、残丘地貌，大部分区域人工改造较大，仅少部分为原始地貌。中部、东侧及北侧场地已经进行场平，整体较平缓，</w:t>
      </w:r>
      <w:r>
        <w:rPr>
          <w:rFonts w:eastAsia="仿宋_GB2312"/>
          <w:sz w:val="24"/>
          <w:szCs w:val="28"/>
        </w:rPr>
        <w:t>坡度约为5°~8°；西侧场地坡度较陡，坡度约为8°~15°，局部存在陡崖，坡度约为15°~25°</w:t>
      </w:r>
      <w:r>
        <w:rPr>
          <w:rFonts w:eastAsia="仿宋_GB2312"/>
          <w:bCs/>
          <w:sz w:val="24"/>
        </w:rPr>
        <w:t>。场地最高处位于北西侧坡顶，高程为271.15m，最低处位于南东侧坡底，高程为238.80m，整体高差为32.35m</w:t>
      </w:r>
      <w:r>
        <w:rPr>
          <w:rFonts w:eastAsia="仿宋_GB2312"/>
          <w:sz w:val="24"/>
        </w:rPr>
        <w:t>。</w:t>
      </w:r>
    </w:p>
    <w:p>
      <w:pPr>
        <w:pStyle w:val="63"/>
        <w:numPr>
          <w:ilvl w:val="0"/>
          <w:numId w:val="1"/>
        </w:numPr>
        <w:autoSpaceDE w:val="0"/>
        <w:autoSpaceDN w:val="0"/>
        <w:adjustRightInd w:val="0"/>
        <w:spacing w:line="360" w:lineRule="auto"/>
        <w:ind w:left="709" w:firstLineChars="0"/>
        <w:rPr>
          <w:kern w:val="0"/>
        </w:rPr>
      </w:pPr>
      <w:r>
        <w:rPr>
          <w:kern w:val="0"/>
        </w:rPr>
        <w:t>地质</w:t>
      </w:r>
    </w:p>
    <w:p>
      <w:pPr>
        <w:pStyle w:val="63"/>
        <w:numPr>
          <w:ilvl w:val="0"/>
          <w:numId w:val="2"/>
        </w:numPr>
        <w:adjustRightInd w:val="0"/>
        <w:spacing w:line="360" w:lineRule="auto"/>
        <w:ind w:firstLineChars="0"/>
      </w:pPr>
      <w:r>
        <w:t>地质构造</w:t>
      </w:r>
    </w:p>
    <w:p>
      <w:pPr>
        <w:adjustRightInd w:val="0"/>
        <w:spacing w:line="360" w:lineRule="auto"/>
        <w:ind w:firstLine="480" w:firstLineChars="200"/>
        <w:rPr>
          <w:rFonts w:eastAsia="仿宋_GB2312"/>
          <w:sz w:val="24"/>
        </w:rPr>
      </w:pPr>
      <w:r>
        <w:rPr>
          <w:rFonts w:eastAsia="仿宋_GB2312"/>
          <w:sz w:val="24"/>
        </w:rPr>
        <w:t>场地构造上处于大盛场向斜西翼，岩层呈单斜产出，次级构造不发育，无断层和褶皱，岩层产状为140°~166°</w:t>
      </w:r>
      <w:r>
        <w:rPr>
          <w:rFonts w:hint="eastAsia" w:ascii="宋体" w:hAnsi="宋体" w:cs="宋体"/>
          <w:sz w:val="24"/>
        </w:rPr>
        <w:t>∠</w:t>
      </w:r>
      <w:r>
        <w:rPr>
          <w:rFonts w:eastAsia="仿宋_GB2312"/>
          <w:sz w:val="24"/>
        </w:rPr>
        <w:t>19°~24°，优势产状为155°</w:t>
      </w:r>
      <w:r>
        <w:rPr>
          <w:rFonts w:hint="eastAsia" w:ascii="宋体" w:hAnsi="宋体" w:cs="宋体"/>
          <w:sz w:val="24"/>
        </w:rPr>
        <w:t>∠</w:t>
      </w:r>
      <w:r>
        <w:rPr>
          <w:rFonts w:eastAsia="仿宋_GB2312"/>
          <w:sz w:val="24"/>
        </w:rPr>
        <w:t>22°，裂隙较发育，层面无胶结平直光滑，略有起伏，张开度小于3mm，岩屑充填，结合很差，属软弱结构面；主要发育2组裂隙：裂隙LX1产状为23°~52°</w:t>
      </w:r>
      <w:r>
        <w:rPr>
          <w:rFonts w:hint="eastAsia" w:ascii="宋体" w:hAnsi="宋体" w:cs="宋体"/>
          <w:sz w:val="24"/>
        </w:rPr>
        <w:t>∠</w:t>
      </w:r>
      <w:r>
        <w:rPr>
          <w:rFonts w:eastAsia="仿宋_GB2312"/>
          <w:sz w:val="24"/>
        </w:rPr>
        <w:t>72°~79°，优势产状为38°</w:t>
      </w:r>
      <w:r>
        <w:rPr>
          <w:rFonts w:hint="eastAsia" w:ascii="宋体" w:hAnsi="宋体" w:cs="宋体"/>
          <w:sz w:val="24"/>
        </w:rPr>
        <w:t>∠</w:t>
      </w:r>
      <w:r>
        <w:rPr>
          <w:rFonts w:eastAsia="仿宋_GB2312"/>
          <w:sz w:val="24"/>
        </w:rPr>
        <w:t>78°，裂隙间距大于2.5m，裂面较平直，闭合，无充填，延伸3</w:t>
      </w:r>
      <w:r>
        <w:rPr>
          <w:rFonts w:hint="eastAsia" w:eastAsia="仿宋_GB2312"/>
          <w:sz w:val="24"/>
        </w:rPr>
        <w:t>m</w:t>
      </w:r>
      <w:r>
        <w:rPr>
          <w:rFonts w:eastAsia="仿宋_GB2312"/>
          <w:sz w:val="24"/>
        </w:rPr>
        <w:t>～5m，结合差，属硬性结构面；裂隙LX2产状为165°~188°</w:t>
      </w:r>
      <w:r>
        <w:rPr>
          <w:rFonts w:hint="eastAsia" w:ascii="宋体" w:hAnsi="宋体" w:cs="宋体"/>
          <w:sz w:val="24"/>
        </w:rPr>
        <w:t>∠</w:t>
      </w:r>
      <w:r>
        <w:rPr>
          <w:rFonts w:eastAsia="仿宋_GB2312"/>
          <w:sz w:val="24"/>
        </w:rPr>
        <w:t>60°~68°，优势产状为174°</w:t>
      </w:r>
      <w:r>
        <w:rPr>
          <w:rFonts w:hint="eastAsia" w:ascii="宋体" w:hAnsi="宋体" w:cs="宋体"/>
          <w:sz w:val="24"/>
        </w:rPr>
        <w:t>∠</w:t>
      </w:r>
      <w:r>
        <w:rPr>
          <w:rFonts w:eastAsia="仿宋_GB2312"/>
          <w:sz w:val="24"/>
        </w:rPr>
        <w:t>66°，裂隙间距大于5.0m，闭合，无充填，延伸2m～3m，结合差，属硬性结构面。</w:t>
      </w:r>
    </w:p>
    <w:p>
      <w:pPr>
        <w:pStyle w:val="63"/>
        <w:numPr>
          <w:ilvl w:val="0"/>
          <w:numId w:val="2"/>
        </w:numPr>
        <w:adjustRightInd w:val="0"/>
        <w:spacing w:line="360" w:lineRule="auto"/>
        <w:ind w:firstLineChars="0"/>
      </w:pPr>
      <w:r>
        <w:t>岩性</w:t>
      </w:r>
    </w:p>
    <w:p>
      <w:pPr>
        <w:adjustRightInd w:val="0"/>
        <w:spacing w:line="360" w:lineRule="auto"/>
        <w:ind w:firstLine="480" w:firstLineChars="200"/>
        <w:rPr>
          <w:rFonts w:eastAsia="仿宋_GB2312"/>
          <w:sz w:val="24"/>
        </w:rPr>
      </w:pPr>
      <w:r>
        <w:rPr>
          <w:rFonts w:eastAsia="仿宋_GB2312"/>
          <w:sz w:val="24"/>
        </w:rPr>
        <w:t>钻探深度范围内岩性由上至下为第四系全新统人工素填土（Q</w:t>
      </w:r>
      <w:r>
        <w:rPr>
          <w:rFonts w:eastAsia="仿宋_GB2312"/>
          <w:sz w:val="24"/>
          <w:vertAlign w:val="subscript"/>
        </w:rPr>
        <w:t>4</w:t>
      </w:r>
      <w:r>
        <w:rPr>
          <w:rFonts w:eastAsia="仿宋_GB2312"/>
          <w:sz w:val="24"/>
          <w:vertAlign w:val="superscript"/>
        </w:rPr>
        <w:t>ml</w:t>
      </w:r>
      <w:r>
        <w:rPr>
          <w:rFonts w:eastAsia="仿宋_GB2312"/>
          <w:sz w:val="24"/>
        </w:rPr>
        <w:t>）、粉质黏土（Q</w:t>
      </w:r>
      <w:r>
        <w:rPr>
          <w:rFonts w:eastAsia="仿宋_GB2312"/>
          <w:sz w:val="24"/>
          <w:vertAlign w:val="subscript"/>
        </w:rPr>
        <w:t>4</w:t>
      </w:r>
      <w:r>
        <w:rPr>
          <w:rFonts w:eastAsia="仿宋_GB2312"/>
          <w:sz w:val="24"/>
          <w:vertAlign w:val="superscript"/>
        </w:rPr>
        <w:t>el+dl</w:t>
      </w:r>
      <w:r>
        <w:rPr>
          <w:rFonts w:eastAsia="仿宋_GB2312"/>
          <w:sz w:val="24"/>
        </w:rPr>
        <w:t>），下伏基岩为侏罗系中统沙溪庙组（J2s）泥岩（J2S-Ms）和砂岩（J2S-Ss）。自上而下分述如下：</w:t>
      </w:r>
    </w:p>
    <w:p>
      <w:pPr>
        <w:pStyle w:val="63"/>
        <w:numPr>
          <w:ilvl w:val="0"/>
          <w:numId w:val="3"/>
        </w:numPr>
        <w:adjustRightInd w:val="0"/>
        <w:spacing w:line="360" w:lineRule="auto"/>
        <w:ind w:hanging="191" w:firstLineChars="0"/>
      </w:pPr>
      <w:r>
        <w:t>第四系全新统素填土（Q</w:t>
      </w:r>
      <w:r>
        <w:rPr>
          <w:vertAlign w:val="superscript"/>
        </w:rPr>
        <w:t>4ml</w:t>
      </w:r>
      <w:r>
        <w:t>）</w:t>
      </w:r>
    </w:p>
    <w:p>
      <w:pPr>
        <w:adjustRightInd w:val="0"/>
        <w:spacing w:line="360" w:lineRule="auto"/>
        <w:ind w:firstLine="480" w:firstLineChars="200"/>
        <w:rPr>
          <w:rFonts w:eastAsia="仿宋_GB2312"/>
          <w:sz w:val="24"/>
        </w:rPr>
      </w:pPr>
      <w:r>
        <w:rPr>
          <w:rFonts w:eastAsia="仿宋_GB2312"/>
          <w:sz w:val="24"/>
        </w:rPr>
        <w:t>素填土（Q</w:t>
      </w:r>
      <w:r>
        <w:rPr>
          <w:rFonts w:eastAsia="仿宋_GB2312"/>
          <w:sz w:val="24"/>
          <w:vertAlign w:val="superscript"/>
        </w:rPr>
        <w:t>4ml</w:t>
      </w:r>
      <w:r>
        <w:rPr>
          <w:rFonts w:eastAsia="仿宋_GB2312"/>
          <w:sz w:val="24"/>
        </w:rPr>
        <w:t>）：黄褐色，松散～稍密，干燥-稍湿，主要由粉质粘土夹强风化泥岩、砂岩碎块石及角砾组成，碎块石粒径为2cm~10cm，局部达25cm，硬质含量为25%~45%，为随意堆填，回填时间小于3年。该层广泛分布于场地四周，钻孔揭露厚度为0.2m（ZK24）~17.0m（ZK4）。</w:t>
      </w:r>
    </w:p>
    <w:p>
      <w:pPr>
        <w:pStyle w:val="63"/>
        <w:numPr>
          <w:ilvl w:val="0"/>
          <w:numId w:val="3"/>
        </w:numPr>
        <w:adjustRightInd w:val="0"/>
        <w:spacing w:line="360" w:lineRule="auto"/>
        <w:ind w:hanging="191" w:firstLineChars="0"/>
      </w:pPr>
      <w:r>
        <w:t>第四系残坡积层粉质粘土（Q</w:t>
      </w:r>
      <w:r>
        <w:rPr>
          <w:vertAlign w:val="superscript"/>
        </w:rPr>
        <w:t>4el+dl</w:t>
      </w:r>
      <w:r>
        <w:t>）</w:t>
      </w:r>
    </w:p>
    <w:p>
      <w:pPr>
        <w:adjustRightInd w:val="0"/>
        <w:spacing w:line="360" w:lineRule="auto"/>
        <w:ind w:firstLine="480" w:firstLineChars="200"/>
        <w:rPr>
          <w:rFonts w:eastAsia="仿宋_GB2312"/>
          <w:sz w:val="24"/>
        </w:rPr>
      </w:pPr>
      <w:r>
        <w:rPr>
          <w:rFonts w:eastAsia="仿宋_GB2312"/>
          <w:sz w:val="24"/>
        </w:rPr>
        <w:t>褐黄色，呈可塑状，局部含植物根系和砂泥岩颗粒，质较纯，切面稍有光泽，无摇震反应，干强度中等，韧性中等，主要分布在场地北侧填土层下方，钻孔揭露该层厚度为1.5m（ZK2）~3.9m(ZK1)。</w:t>
      </w:r>
    </w:p>
    <w:p>
      <w:pPr>
        <w:pStyle w:val="63"/>
        <w:numPr>
          <w:ilvl w:val="0"/>
          <w:numId w:val="3"/>
        </w:numPr>
        <w:adjustRightInd w:val="0"/>
        <w:spacing w:line="360" w:lineRule="auto"/>
        <w:ind w:hanging="191" w:firstLineChars="0"/>
      </w:pPr>
      <w:r>
        <w:t>侏罗系中统沙溪庙组泥岩(J</w:t>
      </w:r>
      <w:r>
        <w:rPr>
          <w:vertAlign w:val="subscript"/>
        </w:rPr>
        <w:t>2S</w:t>
      </w:r>
      <w:r>
        <w:t>-Ms)</w:t>
      </w:r>
    </w:p>
    <w:p>
      <w:pPr>
        <w:adjustRightInd w:val="0"/>
        <w:spacing w:line="360" w:lineRule="auto"/>
        <w:ind w:firstLine="480" w:firstLineChars="200"/>
        <w:rPr>
          <w:rFonts w:eastAsia="仿宋_GB2312"/>
          <w:sz w:val="24"/>
        </w:rPr>
      </w:pPr>
      <w:r>
        <w:rPr>
          <w:rFonts w:eastAsia="仿宋_GB2312"/>
          <w:sz w:val="24"/>
        </w:rPr>
        <w:t>褐红色，泥质结构，泥质胶结，中厚层状构造，主要由粘土类矿物组成，含长石、云母、石英等隐晶质成分，砂质含量较重，局部见灰色砂质条带或砂质团斑。强风化岩石的岩芯破碎，呈碎块状，强度低；中等风化岩石的岩芯较完整，多呈柱状，节长一般5cm～50cm左右。为场地揭露的主要岩性，强风化泥岩岩体破碎，中等风化泥岩岩体较完整。</w:t>
      </w:r>
    </w:p>
    <w:p>
      <w:pPr>
        <w:pStyle w:val="63"/>
        <w:numPr>
          <w:ilvl w:val="0"/>
          <w:numId w:val="3"/>
        </w:numPr>
        <w:adjustRightInd w:val="0"/>
        <w:spacing w:line="360" w:lineRule="auto"/>
        <w:ind w:hanging="191" w:firstLineChars="0"/>
      </w:pPr>
      <w:r>
        <w:t>侏罗系中统沙溪庙组砂岩(J</w:t>
      </w:r>
      <w:r>
        <w:rPr>
          <w:vertAlign w:val="subscript"/>
        </w:rPr>
        <w:t>2S</w:t>
      </w:r>
      <w:r>
        <w:t>-Ss)</w:t>
      </w:r>
    </w:p>
    <w:p>
      <w:pPr>
        <w:tabs>
          <w:tab w:val="left" w:pos="0"/>
        </w:tabs>
        <w:autoSpaceDE w:val="0"/>
        <w:autoSpaceDN w:val="0"/>
        <w:adjustRightInd w:val="0"/>
        <w:spacing w:line="360" w:lineRule="auto"/>
        <w:ind w:firstLine="480" w:firstLineChars="200"/>
        <w:rPr>
          <w:rFonts w:eastAsia="仿宋_GB2312"/>
          <w:sz w:val="24"/>
        </w:rPr>
      </w:pPr>
      <w:r>
        <w:rPr>
          <w:rFonts w:eastAsia="仿宋_GB2312"/>
          <w:sz w:val="24"/>
        </w:rPr>
        <w:t>灰色、灰白色（局部呈灰黄色），细粒结构，中厚层状构造，泥钙质胶结，主要由石英、长石等矿物组成，局部含泥质或夹泥质条带。强风化岩石的岩芯破碎，碎块、短柱状，强度低；中等风化岩石的岩芯较完整，多呈柱状、短柱状，节长一般5cm～40cm左右。为场地揭露的主要岩性，强风化砂岩岩体破碎，中等风化砂岩岩体较完整。</w:t>
      </w:r>
    </w:p>
    <w:p>
      <w:pPr>
        <w:pStyle w:val="63"/>
        <w:numPr>
          <w:ilvl w:val="0"/>
          <w:numId w:val="2"/>
        </w:numPr>
        <w:adjustRightInd w:val="0"/>
        <w:spacing w:line="360" w:lineRule="auto"/>
        <w:ind w:firstLineChars="0"/>
      </w:pPr>
      <w:r>
        <w:t>地震烈度</w:t>
      </w:r>
    </w:p>
    <w:p>
      <w:pPr>
        <w:adjustRightInd w:val="0"/>
        <w:spacing w:line="360" w:lineRule="auto"/>
        <w:ind w:firstLine="480" w:firstLineChars="200"/>
        <w:rPr>
          <w:rFonts w:eastAsia="仿宋_GB2312"/>
          <w:sz w:val="24"/>
        </w:rPr>
      </w:pPr>
      <w:r>
        <w:rPr>
          <w:rFonts w:eastAsia="仿宋_GB2312"/>
          <w:sz w:val="24"/>
        </w:rPr>
        <w:t>根据《中国地震动参数区划图》（GB18306-2015），场区地震动峰值加速度0.05g；据《建筑抗震设计规范》（GB50011-2010 2016年版）附录A，场地所处地区抗震设防烈度为6度，设计地震分组为第一组，设计基本地震加速度值为0.05g。</w:t>
      </w:r>
    </w:p>
    <w:p>
      <w:pPr>
        <w:pStyle w:val="63"/>
        <w:numPr>
          <w:ilvl w:val="0"/>
          <w:numId w:val="2"/>
        </w:numPr>
        <w:adjustRightInd w:val="0"/>
        <w:spacing w:line="360" w:lineRule="auto"/>
        <w:ind w:firstLineChars="0"/>
      </w:pPr>
      <w:r>
        <w:t>不良地质作用</w:t>
      </w:r>
    </w:p>
    <w:p>
      <w:pPr>
        <w:tabs>
          <w:tab w:val="left" w:pos="0"/>
        </w:tabs>
        <w:autoSpaceDE w:val="0"/>
        <w:autoSpaceDN w:val="0"/>
        <w:adjustRightInd w:val="0"/>
        <w:spacing w:line="360" w:lineRule="auto"/>
        <w:ind w:firstLine="480" w:firstLineChars="200"/>
        <w:rPr>
          <w:rFonts w:eastAsia="仿宋_GB2312"/>
          <w:sz w:val="24"/>
          <w:szCs w:val="28"/>
        </w:rPr>
      </w:pPr>
      <w:r>
        <w:rPr>
          <w:rFonts w:eastAsia="仿宋_GB2312"/>
          <w:sz w:val="24"/>
        </w:rPr>
        <w:t>根据收集的区域地质资料，场地内及附近不存在地面变形、滑坡、泥石流等不良地质现象。</w:t>
      </w:r>
    </w:p>
    <w:p>
      <w:pPr>
        <w:pStyle w:val="63"/>
        <w:numPr>
          <w:ilvl w:val="0"/>
          <w:numId w:val="1"/>
        </w:numPr>
        <w:autoSpaceDE w:val="0"/>
        <w:autoSpaceDN w:val="0"/>
        <w:adjustRightInd w:val="0"/>
        <w:spacing w:line="360" w:lineRule="auto"/>
        <w:ind w:left="709" w:firstLineChars="0"/>
        <w:rPr>
          <w:kern w:val="0"/>
        </w:rPr>
      </w:pPr>
      <w:r>
        <w:rPr>
          <w:kern w:val="0"/>
        </w:rPr>
        <w:t>气象</w:t>
      </w:r>
    </w:p>
    <w:p>
      <w:pPr>
        <w:adjustRightInd w:val="0"/>
        <w:snapToGrid w:val="0"/>
        <w:spacing w:line="360" w:lineRule="auto"/>
        <w:ind w:firstLine="480" w:firstLineChars="200"/>
        <w:rPr>
          <w:rFonts w:eastAsia="仿宋_GB2312"/>
          <w:sz w:val="24"/>
        </w:rPr>
      </w:pPr>
      <w:r>
        <w:rPr>
          <w:rFonts w:eastAsia="仿宋_GB2312"/>
          <w:sz w:val="24"/>
        </w:rPr>
        <w:t>重庆市南岸区为亚热带季风性湿润气候，冬温夏热、热量丰富、降水充沛、季节变化大、多云雾、少日照，年无霜期349天左右。多年平均气温18.3℃，月平均最高气温是8月为28.1℃，月平均最低气温在1月为5.7℃，日最高气温43℃，日最低气温-1.8℃；多年平均降水量1163.3mm左右，降雨多集中在5月～9月，其降雨最高达746.1mm左右，多年最大日降雨量122.9mm，日降雨量大于25mm以上的降雨日数占全年降雨日数的62%左右，小时最大降雨量可达62.1mm。多年平均相对湿度约79%，绝对湿度17.7hpa左右。主要风向为北风，全年平均风速为1.3m/s左右，最大风速为26.1m/s。</w:t>
      </w:r>
    </w:p>
    <w:p>
      <w:pPr>
        <w:pStyle w:val="63"/>
        <w:numPr>
          <w:ilvl w:val="0"/>
          <w:numId w:val="1"/>
        </w:numPr>
        <w:autoSpaceDE w:val="0"/>
        <w:autoSpaceDN w:val="0"/>
        <w:adjustRightInd w:val="0"/>
        <w:spacing w:line="360" w:lineRule="auto"/>
        <w:ind w:left="709" w:firstLineChars="0"/>
        <w:rPr>
          <w:kern w:val="0"/>
        </w:rPr>
      </w:pPr>
      <w:r>
        <w:rPr>
          <w:kern w:val="0"/>
        </w:rPr>
        <w:t>水文</w:t>
      </w:r>
    </w:p>
    <w:p>
      <w:pPr>
        <w:adjustRightInd w:val="0"/>
        <w:spacing w:line="360" w:lineRule="auto"/>
        <w:ind w:firstLine="480" w:firstLineChars="200"/>
        <w:rPr>
          <w:rFonts w:eastAsia="仿宋_GB2312"/>
          <w:sz w:val="24"/>
        </w:rPr>
      </w:pPr>
      <w:r>
        <w:rPr>
          <w:rFonts w:eastAsia="仿宋_GB2312"/>
          <w:sz w:val="24"/>
          <w:lang w:val="zh-CN"/>
        </w:rPr>
        <w:t>南岸区河流属</w:t>
      </w:r>
      <w:r>
        <w:fldChar w:fldCharType="begin"/>
      </w:r>
      <w:r>
        <w:instrText xml:space="preserve">HYPERLINK "https://baike.baidu.com/item/%E9%95%BF%E6%B1%9F%E6%B0%B4%E7%B3%BB" \t "_blank"</w:instrText>
      </w:r>
      <w:r>
        <w:fldChar w:fldCharType="separate"/>
      </w:r>
      <w:r>
        <w:rPr>
          <w:rFonts w:eastAsia="仿宋_GB2312"/>
          <w:sz w:val="24"/>
          <w:lang w:val="zh-CN"/>
        </w:rPr>
        <w:t>长江水系</w:t>
      </w:r>
      <w:r>
        <w:rPr>
          <w:rFonts w:eastAsia="仿宋_GB2312"/>
          <w:sz w:val="24"/>
          <w:lang w:val="zh-CN"/>
        </w:rPr>
        <w:fldChar w:fldCharType="end"/>
      </w:r>
      <w:r>
        <w:rPr>
          <w:rFonts w:eastAsia="仿宋_GB2312"/>
          <w:sz w:val="24"/>
          <w:lang w:val="zh-CN"/>
        </w:rPr>
        <w:t>，平均过境水总量为3447.5亿立方米/年，地下水总量为839.3万立方米，以南泉背斜上的鸡冠石——文峰一线最丰富，达516.8万立方米</w:t>
      </w:r>
      <w:r>
        <w:rPr>
          <w:rFonts w:eastAsia="仿宋_GB2312"/>
          <w:sz w:val="24"/>
        </w:rPr>
        <w:t>。</w:t>
      </w:r>
    </w:p>
    <w:p>
      <w:pPr>
        <w:pStyle w:val="63"/>
        <w:numPr>
          <w:ilvl w:val="0"/>
          <w:numId w:val="1"/>
        </w:numPr>
        <w:autoSpaceDE w:val="0"/>
        <w:autoSpaceDN w:val="0"/>
        <w:adjustRightInd w:val="0"/>
        <w:spacing w:line="360" w:lineRule="auto"/>
        <w:ind w:left="709" w:firstLineChars="0"/>
        <w:rPr>
          <w:kern w:val="0"/>
        </w:rPr>
      </w:pPr>
      <w:r>
        <w:rPr>
          <w:kern w:val="0"/>
        </w:rPr>
        <w:t>土壤</w:t>
      </w:r>
    </w:p>
    <w:p>
      <w:pPr>
        <w:adjustRightInd w:val="0"/>
        <w:spacing w:line="360" w:lineRule="auto"/>
        <w:ind w:firstLine="480" w:firstLineChars="200"/>
        <w:rPr>
          <w:rFonts w:eastAsia="仿宋_GB2312"/>
          <w:sz w:val="24"/>
        </w:rPr>
      </w:pPr>
      <w:r>
        <w:rPr>
          <w:rFonts w:eastAsia="仿宋_GB2312"/>
          <w:sz w:val="24"/>
          <w:lang w:val="zh-CN"/>
        </w:rPr>
        <w:t>项目区土壤属于我国的紫色土区，以紫色土为主。场地内土层主要为第四系全新统人工填土层以及残积红粘土，主要由素填土和红粘土组成，夹杂部分块石，其土层较厚。</w:t>
      </w:r>
    </w:p>
    <w:p>
      <w:pPr>
        <w:pStyle w:val="63"/>
        <w:numPr>
          <w:ilvl w:val="0"/>
          <w:numId w:val="1"/>
        </w:numPr>
        <w:autoSpaceDE w:val="0"/>
        <w:autoSpaceDN w:val="0"/>
        <w:adjustRightInd w:val="0"/>
        <w:spacing w:line="360" w:lineRule="auto"/>
        <w:ind w:left="709" w:firstLineChars="0"/>
        <w:rPr>
          <w:kern w:val="0"/>
        </w:rPr>
      </w:pPr>
      <w:r>
        <w:rPr>
          <w:kern w:val="0"/>
        </w:rPr>
        <w:t>植被</w:t>
      </w:r>
    </w:p>
    <w:p>
      <w:pPr>
        <w:autoSpaceDE w:val="0"/>
        <w:autoSpaceDN w:val="0"/>
        <w:adjustRightInd w:val="0"/>
        <w:spacing w:line="360" w:lineRule="auto"/>
        <w:ind w:firstLine="480" w:firstLineChars="200"/>
        <w:rPr>
          <w:rFonts w:eastAsia="仿宋_GB2312"/>
          <w:sz w:val="24"/>
        </w:rPr>
      </w:pPr>
      <w:r>
        <w:rPr>
          <w:rFonts w:eastAsia="仿宋_GB2312"/>
          <w:sz w:val="24"/>
        </w:rPr>
        <w:t>项目区地带性植被属亚热带常绿阔叶林区域。根据历史影像及周边环境调查，场地内主要植被为栎树和原始地形经人工改造后的空闲地，植被覆盖率约25%。</w:t>
      </w:r>
    </w:p>
    <w:p>
      <w:pPr>
        <w:pStyle w:val="63"/>
        <w:numPr>
          <w:ilvl w:val="0"/>
          <w:numId w:val="1"/>
        </w:numPr>
        <w:autoSpaceDE w:val="0"/>
        <w:autoSpaceDN w:val="0"/>
        <w:adjustRightInd w:val="0"/>
        <w:spacing w:line="360" w:lineRule="auto"/>
        <w:ind w:left="567" w:hanging="283" w:firstLineChars="0"/>
        <w:rPr>
          <w:kern w:val="0"/>
        </w:rPr>
      </w:pPr>
      <w:r>
        <w:rPr>
          <w:kern w:val="0"/>
        </w:rPr>
        <w:t>水土保持情况</w:t>
      </w:r>
    </w:p>
    <w:p>
      <w:pPr>
        <w:autoSpaceDE w:val="0"/>
        <w:autoSpaceDN w:val="0"/>
        <w:adjustRightInd w:val="0"/>
        <w:spacing w:line="360" w:lineRule="auto"/>
        <w:ind w:firstLine="480" w:firstLineChars="200"/>
        <w:rPr>
          <w:rFonts w:eastAsia="仿宋_GB2312"/>
          <w:bCs/>
          <w:kern w:val="0"/>
          <w:sz w:val="24"/>
          <w:szCs w:val="28"/>
          <w:lang w:bidi="en-US"/>
        </w:rPr>
      </w:pPr>
      <w:r>
        <w:rPr>
          <w:rFonts w:eastAsia="仿宋_GB2312"/>
          <w:sz w:val="24"/>
        </w:rPr>
        <w:t>项目位于重庆市南岸区长生桥镇，根据水利部办公厅印发《全国水土保持规划国家级水</w:t>
      </w:r>
      <w:r>
        <w:rPr>
          <w:rFonts w:hint="eastAsia" w:eastAsia="仿宋_GB2312"/>
          <w:sz w:val="24"/>
          <w:lang w:val="en-US" w:eastAsia="zh-CN"/>
        </w:rPr>
        <w:t>土</w:t>
      </w:r>
      <w:r>
        <w:rPr>
          <w:rFonts w:eastAsia="仿宋_GB2312"/>
          <w:sz w:val="24"/>
        </w:rPr>
        <w:t>流失重点预防区和重点治理区复核划分成果》（办水保</w:t>
      </w:r>
      <w:r>
        <w:rPr>
          <w:rFonts w:hint="eastAsia" w:ascii="仿宋_GB2312" w:eastAsia="仿宋_GB2312"/>
          <w:sz w:val="24"/>
        </w:rPr>
        <w:t>〔</w:t>
      </w:r>
      <w:r>
        <w:rPr>
          <w:rFonts w:eastAsia="仿宋_GB2312"/>
          <w:sz w:val="24"/>
        </w:rPr>
        <w:t>2013</w:t>
      </w:r>
      <w:r>
        <w:rPr>
          <w:rFonts w:hint="eastAsia" w:ascii="仿宋_GB2312" w:eastAsia="仿宋_GB2312"/>
          <w:sz w:val="24"/>
        </w:rPr>
        <w:t>〕</w:t>
      </w:r>
      <w:r>
        <w:rPr>
          <w:rFonts w:eastAsia="仿宋_GB2312"/>
          <w:sz w:val="24"/>
        </w:rPr>
        <w:t>188号），项目所在南岸区</w:t>
      </w:r>
      <w:bookmarkStart w:id="56" w:name="_GoBack"/>
      <w:bookmarkEnd w:id="56"/>
      <w:r>
        <w:rPr>
          <w:rFonts w:eastAsia="仿宋_GB2312"/>
          <w:sz w:val="24"/>
        </w:rPr>
        <w:t>不属于国家级水土流失防治区；根据《重庆市人民政府办公厅关于公布水土流失重点预防区和重点治理区复核划分成果的通知》（渝府办发〔2015〕197号），项目所在长生桥镇属于重庆市水土流失重点预防区。</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项目区属以水力侵蚀为主的西南土石山区，土壤侵蚀形态以面蚀为主，容许土壤流失量为500t/</w:t>
      </w:r>
      <w:r>
        <w:rPr>
          <w:rFonts w:hint="eastAsia" w:eastAsia="仿宋_GB2312"/>
          <w:kern w:val="0"/>
          <w:sz w:val="24"/>
        </w:rPr>
        <w:t>（k</w:t>
      </w:r>
      <w:r>
        <w:rPr>
          <w:rFonts w:eastAsia="仿宋_GB2312"/>
          <w:kern w:val="0"/>
          <w:sz w:val="24"/>
        </w:rPr>
        <w:t>m</w:t>
      </w:r>
      <w:r>
        <w:rPr>
          <w:rFonts w:eastAsia="仿宋_GB2312"/>
          <w:kern w:val="0"/>
          <w:sz w:val="24"/>
          <w:vertAlign w:val="superscript"/>
        </w:rPr>
        <w:t>2</w:t>
      </w:r>
      <w:r>
        <w:rPr>
          <w:rFonts w:eastAsia="仿宋_GB2312"/>
          <w:kern w:val="0"/>
          <w:sz w:val="24"/>
        </w:rPr>
        <w:t>·a</w:t>
      </w:r>
      <w:r>
        <w:rPr>
          <w:rFonts w:hint="eastAsia" w:eastAsia="仿宋_GB2312"/>
          <w:kern w:val="0"/>
          <w:sz w:val="24"/>
        </w:rPr>
        <w:t>）</w:t>
      </w:r>
      <w:r>
        <w:rPr>
          <w:rFonts w:eastAsia="仿宋_GB2312"/>
          <w:kern w:val="0"/>
          <w:sz w:val="24"/>
        </w:rPr>
        <w:t>。根据本工程水土保持方案，本工程项目区</w:t>
      </w:r>
      <w:bookmarkStart w:id="9" w:name="_Hlk132646581"/>
      <w:r>
        <w:rPr>
          <w:rFonts w:eastAsia="仿宋_GB2312"/>
          <w:kern w:val="0"/>
          <w:sz w:val="24"/>
        </w:rPr>
        <w:t>水土流失面积为6.67hm</w:t>
      </w:r>
      <w:r>
        <w:rPr>
          <w:rFonts w:eastAsia="仿宋_GB2312"/>
          <w:kern w:val="0"/>
          <w:sz w:val="24"/>
          <w:vertAlign w:val="superscript"/>
        </w:rPr>
        <w:t>2</w:t>
      </w:r>
      <w:r>
        <w:rPr>
          <w:rFonts w:eastAsia="仿宋_GB2312"/>
          <w:kern w:val="0"/>
          <w:sz w:val="24"/>
        </w:rPr>
        <w:t>，其中轻度侵蚀面积4.18hm</w:t>
      </w:r>
      <w:r>
        <w:rPr>
          <w:rFonts w:eastAsia="仿宋_GB2312"/>
          <w:kern w:val="0"/>
          <w:sz w:val="24"/>
          <w:vertAlign w:val="superscript"/>
        </w:rPr>
        <w:t>2</w:t>
      </w:r>
      <w:r>
        <w:rPr>
          <w:rFonts w:eastAsia="仿宋_GB2312"/>
          <w:kern w:val="0"/>
          <w:sz w:val="24"/>
        </w:rPr>
        <w:t>，中度侵蚀面积2.37hm</w:t>
      </w:r>
      <w:r>
        <w:rPr>
          <w:rFonts w:eastAsia="仿宋_GB2312"/>
          <w:kern w:val="0"/>
          <w:sz w:val="24"/>
          <w:vertAlign w:val="superscript"/>
        </w:rPr>
        <w:t>2</w:t>
      </w:r>
      <w:r>
        <w:rPr>
          <w:rFonts w:eastAsia="仿宋_GB2312"/>
          <w:kern w:val="0"/>
          <w:sz w:val="24"/>
        </w:rPr>
        <w:t>，强烈侵蚀面积0.12hm</w:t>
      </w:r>
      <w:r>
        <w:rPr>
          <w:rFonts w:eastAsia="仿宋_GB2312"/>
          <w:kern w:val="0"/>
          <w:sz w:val="24"/>
          <w:vertAlign w:val="superscript"/>
        </w:rPr>
        <w:t>2</w:t>
      </w:r>
      <w:r>
        <w:rPr>
          <w:rFonts w:eastAsia="仿宋_GB2312"/>
          <w:kern w:val="0"/>
          <w:sz w:val="24"/>
        </w:rPr>
        <w:t>，原地貌土壤侵蚀模数为1354t/（km</w:t>
      </w:r>
      <w:r>
        <w:rPr>
          <w:rFonts w:eastAsia="仿宋_GB2312"/>
          <w:kern w:val="0"/>
          <w:sz w:val="24"/>
          <w:vertAlign w:val="superscript"/>
        </w:rPr>
        <w:t>2</w:t>
      </w:r>
      <w:r>
        <w:rPr>
          <w:rFonts w:eastAsia="仿宋_GB2312"/>
          <w:kern w:val="0"/>
          <w:sz w:val="24"/>
        </w:rPr>
        <w:t>·a</w:t>
      </w:r>
      <w:r>
        <w:rPr>
          <w:rFonts w:hint="eastAsia" w:eastAsia="仿宋_GB2312"/>
          <w:kern w:val="0"/>
          <w:sz w:val="24"/>
        </w:rPr>
        <w:t>）</w:t>
      </w:r>
      <w:r>
        <w:rPr>
          <w:rFonts w:eastAsia="仿宋_GB2312"/>
          <w:kern w:val="0"/>
          <w:sz w:val="24"/>
        </w:rPr>
        <w:t>，以轻度侵蚀为主</w:t>
      </w:r>
      <w:bookmarkEnd w:id="9"/>
      <w:r>
        <w:rPr>
          <w:rFonts w:eastAsia="仿宋_GB2312"/>
          <w:kern w:val="0"/>
          <w:sz w:val="24"/>
        </w:rPr>
        <w:t>。</w:t>
      </w:r>
    </w:p>
    <w:p>
      <w:pPr>
        <w:pStyle w:val="3"/>
        <w:adjustRightInd w:val="0"/>
        <w:spacing w:before="0" w:after="0" w:line="360" w:lineRule="auto"/>
        <w:rPr>
          <w:rFonts w:ascii="Times New Roman" w:hAnsi="Times New Roman" w:eastAsia="仿宋_GB2312"/>
          <w:bCs w:val="0"/>
          <w:sz w:val="28"/>
          <w:szCs w:val="28"/>
        </w:rPr>
      </w:pPr>
      <w:bookmarkStart w:id="10" w:name="_Toc134801910"/>
      <w:r>
        <w:rPr>
          <w:rFonts w:ascii="Times New Roman" w:hAnsi="Times New Roman" w:eastAsia="仿宋_GB2312"/>
          <w:bCs w:val="0"/>
          <w:sz w:val="28"/>
          <w:szCs w:val="28"/>
        </w:rPr>
        <w:t>1.2 水土流失防治工作概况</w:t>
      </w:r>
      <w:bookmarkEnd w:id="10"/>
    </w:p>
    <w:p>
      <w:pPr>
        <w:pStyle w:val="4"/>
        <w:keepLines/>
        <w:topLinePunct/>
        <w:adjustRightInd w:val="0"/>
        <w:snapToGrid w:val="0"/>
        <w:spacing w:line="360" w:lineRule="auto"/>
        <w:rPr>
          <w:sz w:val="24"/>
          <w:szCs w:val="24"/>
        </w:rPr>
      </w:pPr>
      <w:r>
        <w:rPr>
          <w:sz w:val="24"/>
          <w:szCs w:val="24"/>
        </w:rPr>
        <w:t>1.2.1 前期工作开展情况</w:t>
      </w:r>
    </w:p>
    <w:p>
      <w:pPr>
        <w:autoSpaceDE w:val="0"/>
        <w:autoSpaceDN w:val="0"/>
        <w:adjustRightInd w:val="0"/>
        <w:spacing w:line="360" w:lineRule="auto"/>
        <w:ind w:firstLine="480" w:firstLineChars="200"/>
        <w:textAlignment w:val="baseline"/>
        <w:rPr>
          <w:rFonts w:eastAsia="仿宋_GB2312"/>
          <w:sz w:val="24"/>
          <w:szCs w:val="28"/>
        </w:rPr>
      </w:pPr>
      <w:bookmarkStart w:id="11" w:name="_Hlk73575013"/>
      <w:r>
        <w:rPr>
          <w:rFonts w:eastAsia="仿宋_GB2312"/>
          <w:sz w:val="24"/>
          <w:szCs w:val="28"/>
        </w:rPr>
        <w:t>2021年8月19日，项目建设单位取得重庆经济技术开发区管理委员会改革发展和科技局下发的《重庆经开区改革发展和科技局关于变更通江新城B02-42-3地块中学工程立项的批复》（渝经开改发科技发</w:t>
      </w:r>
      <w:r>
        <w:rPr>
          <w:rFonts w:eastAsia="仿宋"/>
          <w:sz w:val="24"/>
          <w:szCs w:val="28"/>
        </w:rPr>
        <w:t>〔2021〕</w:t>
      </w:r>
      <w:r>
        <w:rPr>
          <w:rFonts w:eastAsia="仿宋_GB2312"/>
          <w:sz w:val="24"/>
          <w:szCs w:val="28"/>
        </w:rPr>
        <w:t>25号）</w:t>
      </w:r>
      <w:r>
        <w:rPr>
          <w:rFonts w:hint="eastAsia" w:eastAsia="仿宋_GB2312"/>
          <w:sz w:val="24"/>
          <w:szCs w:val="28"/>
        </w:rPr>
        <w:t>；</w:t>
      </w:r>
    </w:p>
    <w:p>
      <w:pPr>
        <w:autoSpaceDE w:val="0"/>
        <w:autoSpaceDN w:val="0"/>
        <w:adjustRightInd w:val="0"/>
        <w:spacing w:line="360" w:lineRule="auto"/>
        <w:ind w:firstLine="480" w:firstLineChars="200"/>
        <w:textAlignment w:val="baseline"/>
        <w:rPr>
          <w:rFonts w:eastAsia="仿宋_GB2312"/>
          <w:sz w:val="24"/>
          <w:szCs w:val="28"/>
        </w:rPr>
      </w:pPr>
      <w:r>
        <w:rPr>
          <w:rFonts w:eastAsia="仿宋_GB2312"/>
          <w:sz w:val="24"/>
          <w:szCs w:val="28"/>
        </w:rPr>
        <w:t>2021年11月17日，项目建设单位取得重庆市南岸区规划和自然资源局下发的</w:t>
      </w:r>
      <w:bookmarkStart w:id="12" w:name="_Hlk96102571"/>
      <w:r>
        <w:rPr>
          <w:rFonts w:eastAsia="仿宋_GB2312"/>
          <w:sz w:val="24"/>
          <w:szCs w:val="28"/>
        </w:rPr>
        <w:t>《建设项目用地预审与选址意见书》（用字第500108202100009号）</w:t>
      </w:r>
      <w:bookmarkEnd w:id="12"/>
      <w:r>
        <w:rPr>
          <w:rFonts w:hint="eastAsia" w:eastAsia="仿宋_GB2312"/>
          <w:sz w:val="24"/>
          <w:szCs w:val="28"/>
        </w:rPr>
        <w:t>；</w:t>
      </w:r>
    </w:p>
    <w:p>
      <w:pPr>
        <w:autoSpaceDE w:val="0"/>
        <w:autoSpaceDN w:val="0"/>
        <w:adjustRightInd w:val="0"/>
        <w:spacing w:line="360" w:lineRule="auto"/>
        <w:ind w:firstLine="480" w:firstLineChars="200"/>
        <w:textAlignment w:val="baseline"/>
        <w:rPr>
          <w:rFonts w:eastAsia="仿宋_GB2312"/>
          <w:sz w:val="24"/>
          <w:szCs w:val="28"/>
        </w:rPr>
      </w:pPr>
      <w:r>
        <w:rPr>
          <w:rFonts w:eastAsia="仿宋_GB2312"/>
          <w:sz w:val="24"/>
          <w:szCs w:val="28"/>
        </w:rPr>
        <w:t>2021年11月，中煤科工重庆设计研究院（集团）有限公司完成了《重庆经开区通江新城B02-42-3地块中学项目工程地质勘察报告》</w:t>
      </w:r>
      <w:r>
        <w:rPr>
          <w:rFonts w:hint="eastAsia" w:eastAsia="仿宋_GB2312"/>
          <w:sz w:val="24"/>
          <w:szCs w:val="28"/>
        </w:rPr>
        <w:t>；</w:t>
      </w:r>
    </w:p>
    <w:p>
      <w:pPr>
        <w:adjustRightInd w:val="0"/>
        <w:spacing w:line="360" w:lineRule="auto"/>
        <w:ind w:firstLine="482"/>
        <w:rPr>
          <w:rFonts w:eastAsia="仿宋_GB2312"/>
          <w:sz w:val="24"/>
        </w:rPr>
      </w:pPr>
      <w:r>
        <w:rPr>
          <w:rFonts w:eastAsia="仿宋_GB2312"/>
          <w:sz w:val="24"/>
        </w:rPr>
        <w:t>2021年11月17日，东南大学建筑设计研究院有限公司完成了《重庆经开区通江新城B02-42-3地块中学方案设计》</w:t>
      </w:r>
      <w:r>
        <w:rPr>
          <w:rFonts w:hint="eastAsia" w:eastAsia="仿宋_GB2312"/>
          <w:sz w:val="24"/>
        </w:rPr>
        <w:t>；</w:t>
      </w:r>
    </w:p>
    <w:p>
      <w:pPr>
        <w:adjustRightInd w:val="0"/>
        <w:spacing w:line="360" w:lineRule="auto"/>
        <w:ind w:firstLine="482"/>
        <w:rPr>
          <w:rFonts w:eastAsia="仿宋_GB2312"/>
          <w:sz w:val="24"/>
          <w:szCs w:val="28"/>
        </w:rPr>
      </w:pPr>
      <w:r>
        <w:rPr>
          <w:rFonts w:hint="eastAsia" w:eastAsia="仿宋_GB2312"/>
          <w:sz w:val="24"/>
          <w:szCs w:val="28"/>
        </w:rPr>
        <w:t>2</w:t>
      </w:r>
      <w:r>
        <w:rPr>
          <w:rFonts w:eastAsia="仿宋_GB2312"/>
          <w:sz w:val="24"/>
          <w:szCs w:val="28"/>
        </w:rPr>
        <w:t>021</w:t>
      </w:r>
      <w:r>
        <w:rPr>
          <w:rFonts w:hint="eastAsia" w:eastAsia="仿宋_GB2312"/>
          <w:sz w:val="24"/>
          <w:szCs w:val="28"/>
        </w:rPr>
        <w:t>年1</w:t>
      </w:r>
      <w:r>
        <w:rPr>
          <w:rFonts w:eastAsia="仿宋_GB2312"/>
          <w:sz w:val="24"/>
          <w:szCs w:val="28"/>
        </w:rPr>
        <w:t>1</w:t>
      </w:r>
      <w:r>
        <w:rPr>
          <w:rFonts w:hint="eastAsia" w:eastAsia="仿宋_GB2312"/>
          <w:sz w:val="24"/>
          <w:szCs w:val="28"/>
        </w:rPr>
        <w:t>月，由东南大学建筑设计研究院有限公司编制完成</w:t>
      </w:r>
      <w:r>
        <w:rPr>
          <w:rFonts w:eastAsia="仿宋_GB2312"/>
          <w:sz w:val="24"/>
          <w:szCs w:val="28"/>
        </w:rPr>
        <w:t>《通江新城B02-42-3地块中学</w:t>
      </w:r>
      <w:r>
        <w:rPr>
          <w:rFonts w:hint="eastAsia" w:eastAsia="仿宋_GB2312"/>
          <w:sz w:val="24"/>
          <w:szCs w:val="28"/>
        </w:rPr>
        <w:t>工程可行性研究报告</w:t>
      </w:r>
      <w:r>
        <w:rPr>
          <w:rFonts w:eastAsia="仿宋_GB2312"/>
          <w:sz w:val="24"/>
          <w:szCs w:val="28"/>
        </w:rPr>
        <w:t>》</w:t>
      </w:r>
      <w:r>
        <w:rPr>
          <w:rFonts w:hint="eastAsia" w:eastAsia="仿宋_GB2312"/>
          <w:sz w:val="24"/>
          <w:szCs w:val="28"/>
        </w:rPr>
        <w:t>；</w:t>
      </w:r>
    </w:p>
    <w:p>
      <w:pPr>
        <w:adjustRightInd w:val="0"/>
        <w:spacing w:line="360" w:lineRule="auto"/>
        <w:ind w:firstLine="482"/>
        <w:rPr>
          <w:rFonts w:eastAsia="仿宋_GB2312"/>
          <w:sz w:val="24"/>
        </w:rPr>
      </w:pPr>
      <w:r>
        <w:rPr>
          <w:rFonts w:hint="eastAsia" w:eastAsia="仿宋_GB2312"/>
          <w:sz w:val="24"/>
          <w:szCs w:val="28"/>
        </w:rPr>
        <w:t>2</w:t>
      </w:r>
      <w:r>
        <w:rPr>
          <w:rFonts w:eastAsia="仿宋_GB2312"/>
          <w:sz w:val="24"/>
          <w:szCs w:val="28"/>
        </w:rPr>
        <w:t>022</w:t>
      </w:r>
      <w:r>
        <w:rPr>
          <w:rFonts w:hint="eastAsia" w:eastAsia="仿宋_GB2312"/>
          <w:sz w:val="24"/>
          <w:szCs w:val="28"/>
        </w:rPr>
        <w:t>年8月4日，项目取得重庆经开区改革发展科技局批准的文《关于通江新城B02-42-3地块中学工程可行性研究报告的批复》；</w:t>
      </w:r>
    </w:p>
    <w:p>
      <w:pPr>
        <w:adjustRightInd w:val="0"/>
        <w:spacing w:line="360" w:lineRule="auto"/>
        <w:ind w:firstLine="482"/>
        <w:rPr>
          <w:rFonts w:eastAsia="仿宋_GB2312"/>
          <w:sz w:val="24"/>
        </w:rPr>
      </w:pPr>
      <w:r>
        <w:rPr>
          <w:rFonts w:eastAsia="仿宋_GB2312"/>
          <w:sz w:val="24"/>
        </w:rPr>
        <w:t>2022年3月25日，东南大学建筑设计研究院有限公司完成了《重庆经开区通江新城B02-42-3地块中学施工图设计》</w:t>
      </w:r>
      <w:r>
        <w:rPr>
          <w:rFonts w:hint="eastAsia" w:eastAsia="仿宋_GB2312"/>
          <w:sz w:val="24"/>
        </w:rPr>
        <w:t>；</w:t>
      </w:r>
    </w:p>
    <w:p>
      <w:pPr>
        <w:adjustRightInd w:val="0"/>
        <w:spacing w:line="360" w:lineRule="auto"/>
        <w:ind w:firstLine="482"/>
        <w:rPr>
          <w:rFonts w:eastAsia="仿宋_GB2312"/>
          <w:sz w:val="24"/>
        </w:rPr>
      </w:pPr>
      <w:r>
        <w:rPr>
          <w:rFonts w:hint="eastAsia" w:eastAsia="仿宋_GB2312"/>
          <w:sz w:val="24"/>
          <w:szCs w:val="28"/>
        </w:rPr>
        <w:t>2</w:t>
      </w:r>
      <w:r>
        <w:rPr>
          <w:rFonts w:eastAsia="仿宋_GB2312"/>
          <w:sz w:val="24"/>
          <w:szCs w:val="28"/>
        </w:rPr>
        <w:t>022</w:t>
      </w:r>
      <w:r>
        <w:rPr>
          <w:rFonts w:hint="eastAsia" w:eastAsia="仿宋_GB2312"/>
          <w:sz w:val="24"/>
          <w:szCs w:val="28"/>
        </w:rPr>
        <w:t>年8月1</w:t>
      </w:r>
      <w:r>
        <w:rPr>
          <w:rFonts w:eastAsia="仿宋_GB2312"/>
          <w:sz w:val="24"/>
          <w:szCs w:val="28"/>
        </w:rPr>
        <w:t>2</w:t>
      </w:r>
      <w:r>
        <w:rPr>
          <w:rFonts w:hint="eastAsia" w:eastAsia="仿宋_GB2312"/>
          <w:sz w:val="24"/>
          <w:szCs w:val="28"/>
        </w:rPr>
        <w:t>日，项目取得重庆经开区管理委员会生环境和建设管理局下发的施工图备案凭证（经环建初设</w:t>
      </w:r>
      <w:r>
        <w:rPr>
          <w:rFonts w:hint="eastAsia" w:ascii="仿宋_GB2312" w:eastAsia="仿宋_GB2312"/>
          <w:sz w:val="24"/>
          <w:szCs w:val="28"/>
        </w:rPr>
        <w:t>〔</w:t>
      </w:r>
      <w:r>
        <w:rPr>
          <w:rFonts w:hint="eastAsia" w:eastAsia="仿宋_GB2312"/>
          <w:sz w:val="24"/>
          <w:szCs w:val="28"/>
        </w:rPr>
        <w:t>2</w:t>
      </w:r>
      <w:r>
        <w:rPr>
          <w:rFonts w:eastAsia="仿宋_GB2312"/>
          <w:sz w:val="24"/>
          <w:szCs w:val="28"/>
        </w:rPr>
        <w:t>022</w:t>
      </w:r>
      <w:r>
        <w:rPr>
          <w:rFonts w:hint="eastAsia" w:ascii="仿宋_GB2312" w:eastAsia="仿宋_GB2312"/>
          <w:sz w:val="24"/>
          <w:szCs w:val="28"/>
        </w:rPr>
        <w:t>〕</w:t>
      </w:r>
      <w:r>
        <w:rPr>
          <w:rFonts w:hint="eastAsia" w:eastAsia="仿宋_GB2312"/>
          <w:sz w:val="24"/>
          <w:szCs w:val="28"/>
        </w:rPr>
        <w:t>6号）；</w:t>
      </w:r>
    </w:p>
    <w:p>
      <w:pPr>
        <w:adjustRightInd w:val="0"/>
        <w:spacing w:line="360" w:lineRule="auto"/>
        <w:ind w:firstLine="482"/>
        <w:rPr>
          <w:rFonts w:eastAsia="仿宋_GB2312"/>
          <w:sz w:val="24"/>
        </w:rPr>
      </w:pPr>
      <w:r>
        <w:rPr>
          <w:rFonts w:eastAsia="仿宋_GB2312"/>
          <w:sz w:val="24"/>
        </w:rPr>
        <w:t>2022年3月，</w:t>
      </w:r>
      <w:r>
        <w:rPr>
          <w:rFonts w:eastAsia="仿宋_GB2312"/>
          <w:sz w:val="24"/>
          <w:szCs w:val="28"/>
        </w:rPr>
        <w:t>中煤科工重庆设计研究院（集团）有限公司</w:t>
      </w:r>
      <w:r>
        <w:rPr>
          <w:rFonts w:eastAsia="仿宋_GB2312"/>
          <w:sz w:val="24"/>
        </w:rPr>
        <w:t>完成了《重庆经开区通江新城B02-42-3地块中学项目边坡治理工程施工图设计》</w:t>
      </w:r>
      <w:bookmarkEnd w:id="11"/>
      <w:r>
        <w:rPr>
          <w:rFonts w:eastAsia="仿宋_GB2312"/>
          <w:sz w:val="24"/>
          <w:szCs w:val="28"/>
        </w:rPr>
        <w:t>。</w:t>
      </w:r>
    </w:p>
    <w:p>
      <w:pPr>
        <w:pStyle w:val="4"/>
        <w:keepLines/>
        <w:topLinePunct/>
        <w:adjustRightInd w:val="0"/>
        <w:snapToGrid w:val="0"/>
        <w:spacing w:line="360" w:lineRule="auto"/>
        <w:rPr>
          <w:sz w:val="24"/>
          <w:szCs w:val="24"/>
        </w:rPr>
      </w:pPr>
      <w:r>
        <w:rPr>
          <w:sz w:val="24"/>
          <w:szCs w:val="24"/>
        </w:rPr>
        <w:t>1.2.2 水土保持方案编制情况</w:t>
      </w:r>
    </w:p>
    <w:p>
      <w:pPr>
        <w:adjustRightInd w:val="0"/>
        <w:snapToGrid w:val="0"/>
        <w:spacing w:line="360" w:lineRule="auto"/>
        <w:ind w:firstLine="480" w:firstLineChars="200"/>
        <w:rPr>
          <w:rFonts w:eastAsia="仿宋_GB2312"/>
          <w:sz w:val="24"/>
        </w:rPr>
      </w:pPr>
      <w:r>
        <w:rPr>
          <w:rFonts w:eastAsia="仿宋_GB2312"/>
          <w:sz w:val="24"/>
        </w:rPr>
        <w:t>2022年7月，中云智德（重庆）环境技术有限公司编制完成了《通江新城B02-42-3地块中学工程水土保持方案报告书（送审稿）》。</w:t>
      </w:r>
    </w:p>
    <w:p>
      <w:pPr>
        <w:adjustRightInd w:val="0"/>
        <w:snapToGrid w:val="0"/>
        <w:spacing w:line="360" w:lineRule="auto"/>
        <w:ind w:firstLine="480" w:firstLineChars="200"/>
        <w:rPr>
          <w:rFonts w:eastAsia="仿宋_GB2312"/>
          <w:sz w:val="24"/>
        </w:rPr>
      </w:pPr>
      <w:r>
        <w:rPr>
          <w:rFonts w:eastAsia="仿宋_GB2312"/>
          <w:sz w:val="24"/>
        </w:rPr>
        <w:t>2022年7月11日，</w:t>
      </w:r>
      <w:r>
        <w:rPr>
          <w:rFonts w:eastAsia="仿宋_GB2312"/>
          <w:kern w:val="0"/>
          <w:sz w:val="24"/>
        </w:rPr>
        <w:t>重庆经开区生态环境和建设管理局</w:t>
      </w:r>
      <w:r>
        <w:rPr>
          <w:rFonts w:eastAsia="仿宋_GB2312"/>
          <w:sz w:val="24"/>
        </w:rPr>
        <w:t>组织专家对《</w:t>
      </w:r>
      <w:r>
        <w:rPr>
          <w:rFonts w:eastAsia="仿宋_GB2312"/>
          <w:sz w:val="24"/>
          <w:szCs w:val="28"/>
        </w:rPr>
        <w:t>通江新城B02-42-3地块中学工程水土保持方案报告书</w:t>
      </w:r>
      <w:r>
        <w:rPr>
          <w:rFonts w:eastAsia="仿宋_GB2312"/>
          <w:sz w:val="24"/>
        </w:rPr>
        <w:t>》（送审稿）进行了评审，根据专家的意见、建议，对报告进行修改完善最终形成了《通江新城B02-42-3地块中学工程水土保持方案报告书（报批稿）》。</w:t>
      </w:r>
    </w:p>
    <w:p>
      <w:pPr>
        <w:autoSpaceDE w:val="0"/>
        <w:autoSpaceDN w:val="0"/>
        <w:adjustRightInd w:val="0"/>
        <w:spacing w:line="360" w:lineRule="auto"/>
        <w:ind w:firstLine="480" w:firstLineChars="200"/>
        <w:rPr>
          <w:rFonts w:eastAsia="仿宋_GB2312"/>
          <w:sz w:val="24"/>
        </w:rPr>
      </w:pPr>
      <w:r>
        <w:rPr>
          <w:rFonts w:eastAsia="仿宋_GB2312"/>
          <w:kern w:val="0"/>
          <w:sz w:val="24"/>
        </w:rPr>
        <w:t>2022年7月25日，重庆经开区生态环境和建设管理局以“经环建水许可〔2022〕13号”文对本项目水土保持方案报告书进行了批复。</w:t>
      </w:r>
    </w:p>
    <w:p>
      <w:pPr>
        <w:pStyle w:val="4"/>
        <w:keepLines/>
        <w:topLinePunct/>
        <w:adjustRightInd w:val="0"/>
        <w:snapToGrid w:val="0"/>
        <w:spacing w:line="360" w:lineRule="auto"/>
        <w:rPr>
          <w:sz w:val="24"/>
          <w:szCs w:val="24"/>
        </w:rPr>
      </w:pPr>
      <w:r>
        <w:rPr>
          <w:sz w:val="24"/>
          <w:szCs w:val="24"/>
        </w:rPr>
        <w:t>1.2.3 水土保持措施设计及施工情况</w:t>
      </w:r>
    </w:p>
    <w:p>
      <w:pPr>
        <w:autoSpaceDE w:val="0"/>
        <w:autoSpaceDN w:val="0"/>
        <w:adjustRightInd w:val="0"/>
        <w:spacing w:line="360" w:lineRule="auto"/>
        <w:ind w:firstLine="480" w:firstLineChars="200"/>
        <w:rPr>
          <w:rFonts w:eastAsia="仿宋_GB2312"/>
          <w:sz w:val="24"/>
        </w:rPr>
      </w:pPr>
      <w:r>
        <w:rPr>
          <w:rFonts w:eastAsia="仿宋_GB2312"/>
          <w:sz w:val="24"/>
        </w:rPr>
        <w:t>本工程的设计单位为</w:t>
      </w:r>
      <w:r>
        <w:rPr>
          <w:rFonts w:eastAsia="仿宋_GB2312"/>
          <w:sz w:val="24"/>
          <w:szCs w:val="28"/>
        </w:rPr>
        <w:t>东南大学建筑设计研究院有限公司</w:t>
      </w:r>
      <w:r>
        <w:rPr>
          <w:rFonts w:eastAsia="仿宋_GB2312"/>
          <w:kern w:val="0"/>
          <w:sz w:val="24"/>
        </w:rPr>
        <w:t>。该公司于</w:t>
      </w:r>
      <w:r>
        <w:rPr>
          <w:rFonts w:eastAsia="仿宋_GB2312"/>
          <w:sz w:val="24"/>
          <w:szCs w:val="28"/>
        </w:rPr>
        <w:t>2021年11月</w:t>
      </w:r>
      <w:r>
        <w:rPr>
          <w:rFonts w:eastAsia="仿宋_GB2312"/>
          <w:kern w:val="0"/>
          <w:sz w:val="24"/>
        </w:rPr>
        <w:t>编制完成了</w:t>
      </w:r>
      <w:r>
        <w:rPr>
          <w:rFonts w:eastAsia="仿宋_GB2312"/>
          <w:sz w:val="24"/>
          <w:szCs w:val="28"/>
        </w:rPr>
        <w:t>《重庆经开区通江新城B02-42-3地块中学方案设计》</w:t>
      </w:r>
      <w:r>
        <w:rPr>
          <w:rFonts w:eastAsia="仿宋_GB2312"/>
          <w:kern w:val="0"/>
          <w:sz w:val="24"/>
        </w:rPr>
        <w:t>，于2022年3月完成</w:t>
      </w:r>
      <w:r>
        <w:rPr>
          <w:rFonts w:eastAsia="仿宋_GB2312"/>
          <w:sz w:val="24"/>
        </w:rPr>
        <w:t>《重庆经开区通江新城B02-42-3地块中学施工图设计》</w:t>
      </w:r>
      <w:r>
        <w:rPr>
          <w:rFonts w:eastAsia="仿宋_GB2312"/>
          <w:kern w:val="0"/>
          <w:sz w:val="24"/>
        </w:rPr>
        <w:t>。本工程设计的水土保持措施主要为场地的雨水管网、透水铺装、排水沟、雨水收集池和实地绿化和屋顶绿化。</w:t>
      </w:r>
    </w:p>
    <w:p>
      <w:pPr>
        <w:autoSpaceDE w:val="0"/>
        <w:autoSpaceDN w:val="0"/>
        <w:adjustRightInd w:val="0"/>
        <w:spacing w:line="360" w:lineRule="auto"/>
        <w:ind w:firstLine="480" w:firstLineChars="200"/>
        <w:rPr>
          <w:rFonts w:eastAsia="仿宋_GB2312"/>
          <w:kern w:val="0"/>
          <w:sz w:val="24"/>
        </w:rPr>
      </w:pPr>
      <w:r>
        <w:rPr>
          <w:rFonts w:eastAsia="仿宋_GB2312"/>
          <w:sz w:val="24"/>
        </w:rPr>
        <w:t>本工程于</w:t>
      </w:r>
      <w:r>
        <w:rPr>
          <w:rFonts w:eastAsia="仿宋_GB2312"/>
          <w:kern w:val="0"/>
          <w:sz w:val="24"/>
        </w:rPr>
        <w:t>2020年10月开工建设，2023年3月完工，根据现场</w:t>
      </w:r>
      <w:r>
        <w:rPr>
          <w:rFonts w:hint="eastAsia" w:eastAsia="仿宋_GB2312"/>
          <w:kern w:val="0"/>
          <w:sz w:val="24"/>
        </w:rPr>
        <w:t>调查</w:t>
      </w:r>
      <w:r>
        <w:rPr>
          <w:rFonts w:eastAsia="仿宋_GB2312"/>
          <w:kern w:val="0"/>
          <w:sz w:val="24"/>
        </w:rPr>
        <w:t>，本项目实际施工布设的水土保持措施为雨水管网、透水铺装、排水沟、雨水收集池和实地绿化和屋顶绿化。施工过程中建设单位基本按照三同时原则落实水土保持措施的实施，严格实行项目法人制、招投标制、建设监理制和合同管理制。本工程水土保持施工单位和监理单位均依托主体工程，施工单位为渝建实业集团股份有限公司，监理单位为重庆赛迪工程咨询有限公司。</w:t>
      </w:r>
    </w:p>
    <w:p>
      <w:pPr>
        <w:autoSpaceDE w:val="0"/>
        <w:autoSpaceDN w:val="0"/>
        <w:adjustRightInd w:val="0"/>
        <w:spacing w:line="360" w:lineRule="auto"/>
        <w:ind w:firstLine="480" w:firstLineChars="200"/>
        <w:rPr>
          <w:rFonts w:eastAsia="仿宋_GB2312"/>
          <w:kern w:val="0"/>
          <w:sz w:val="24"/>
        </w:rPr>
      </w:pPr>
      <w:r>
        <w:rPr>
          <w:rFonts w:eastAsia="仿宋_GB2312"/>
          <w:sz w:val="24"/>
        </w:rPr>
        <w:t>中云智德（重庆）环境技术有限公司</w:t>
      </w:r>
      <w:r>
        <w:rPr>
          <w:rFonts w:hint="eastAsia" w:eastAsia="仿宋_GB2312"/>
          <w:sz w:val="24"/>
        </w:rPr>
        <w:t>（以下简称“我公司”）</w:t>
      </w:r>
      <w:r>
        <w:rPr>
          <w:rFonts w:hint="eastAsia" w:eastAsia="仿宋_GB2312"/>
          <w:kern w:val="0"/>
          <w:sz w:val="24"/>
        </w:rPr>
        <w:t>于2</w:t>
      </w:r>
      <w:r>
        <w:rPr>
          <w:rFonts w:eastAsia="仿宋_GB2312"/>
          <w:kern w:val="0"/>
          <w:sz w:val="24"/>
        </w:rPr>
        <w:t>022</w:t>
      </w:r>
      <w:r>
        <w:rPr>
          <w:rFonts w:hint="eastAsia" w:eastAsia="仿宋_GB2312"/>
          <w:kern w:val="0"/>
          <w:sz w:val="24"/>
        </w:rPr>
        <w:t>年1</w:t>
      </w:r>
      <w:r>
        <w:rPr>
          <w:rFonts w:eastAsia="仿宋_GB2312"/>
          <w:kern w:val="0"/>
          <w:sz w:val="24"/>
        </w:rPr>
        <w:t>2</w:t>
      </w:r>
      <w:r>
        <w:rPr>
          <w:rFonts w:hint="eastAsia" w:eastAsia="仿宋_GB2312"/>
          <w:kern w:val="0"/>
          <w:sz w:val="24"/>
        </w:rPr>
        <w:t>月</w:t>
      </w:r>
      <w:r>
        <w:rPr>
          <w:rFonts w:eastAsia="仿宋_GB2312"/>
          <w:kern w:val="0"/>
          <w:sz w:val="24"/>
        </w:rPr>
        <w:t>开展本工程水土保持监测工作，介入时项目</w:t>
      </w:r>
      <w:r>
        <w:rPr>
          <w:rFonts w:hint="eastAsia" w:eastAsia="仿宋_GB2312"/>
          <w:kern w:val="0"/>
          <w:sz w:val="24"/>
        </w:rPr>
        <w:t>已进入收尾工作</w:t>
      </w:r>
      <w:r>
        <w:rPr>
          <w:rFonts w:eastAsia="仿宋_GB2312"/>
          <w:kern w:val="0"/>
          <w:sz w:val="24"/>
        </w:rPr>
        <w:t>。我</w:t>
      </w:r>
      <w:r>
        <w:rPr>
          <w:rFonts w:hint="eastAsia" w:eastAsia="仿宋_GB2312"/>
          <w:kern w:val="0"/>
          <w:sz w:val="24"/>
        </w:rPr>
        <w:t>公</w:t>
      </w:r>
      <w:r>
        <w:rPr>
          <w:rFonts w:eastAsia="仿宋_GB2312"/>
          <w:kern w:val="0"/>
          <w:sz w:val="24"/>
        </w:rPr>
        <w:t>司根据现场巡查，收集施工监理资料并询问施工人员，于2023年</w:t>
      </w:r>
      <w:r>
        <w:rPr>
          <w:rFonts w:hint="eastAsia" w:eastAsia="仿宋_GB2312"/>
          <w:kern w:val="0"/>
          <w:sz w:val="24"/>
        </w:rPr>
        <w:t>4</w:t>
      </w:r>
      <w:r>
        <w:rPr>
          <w:rFonts w:eastAsia="仿宋_GB2312"/>
          <w:kern w:val="0"/>
          <w:sz w:val="24"/>
        </w:rPr>
        <w:t>月完成《</w:t>
      </w:r>
      <w:r>
        <w:rPr>
          <w:rFonts w:eastAsia="仿宋_GB2312"/>
          <w:sz w:val="24"/>
        </w:rPr>
        <w:t>通江新城B02-42-3地块中学工程水土保持监测总结报告》。</w:t>
      </w:r>
      <w:r>
        <w:rPr>
          <w:rFonts w:eastAsia="仿宋_GB2312"/>
          <w:kern w:val="0"/>
          <w:sz w:val="24"/>
        </w:rPr>
        <w:t>根据所收集的资料，施工期间未发现有水土保持重大变更和水土流失危害事件的相关记录。</w:t>
      </w:r>
    </w:p>
    <w:p>
      <w:pPr>
        <w:pStyle w:val="4"/>
        <w:keepLines/>
        <w:topLinePunct/>
        <w:adjustRightInd w:val="0"/>
        <w:snapToGrid w:val="0"/>
        <w:spacing w:line="360" w:lineRule="auto"/>
        <w:rPr>
          <w:sz w:val="24"/>
          <w:szCs w:val="24"/>
        </w:rPr>
      </w:pPr>
      <w:r>
        <w:rPr>
          <w:sz w:val="24"/>
          <w:szCs w:val="24"/>
        </w:rPr>
        <w:t>1.2.4 完工以来的水土保持情况</w:t>
      </w:r>
    </w:p>
    <w:p>
      <w:pPr>
        <w:autoSpaceDE w:val="0"/>
        <w:autoSpaceDN w:val="0"/>
        <w:adjustRightInd w:val="0"/>
        <w:spacing w:line="360" w:lineRule="auto"/>
        <w:ind w:firstLine="480" w:firstLineChars="200"/>
        <w:rPr>
          <w:rFonts w:eastAsia="仿宋_GB2312"/>
          <w:sz w:val="24"/>
        </w:rPr>
      </w:pPr>
      <w:r>
        <w:rPr>
          <w:rFonts w:eastAsia="仿宋_GB2312"/>
          <w:kern w:val="0"/>
          <w:sz w:val="24"/>
        </w:rPr>
        <w:t>本工程的水土保持措施管护单位为</w:t>
      </w:r>
      <w:r>
        <w:rPr>
          <w:rFonts w:eastAsia="仿宋_GB2312"/>
          <w:sz w:val="24"/>
          <w:szCs w:val="28"/>
        </w:rPr>
        <w:t>重庆经开区开发建设有限公司</w:t>
      </w:r>
      <w:r>
        <w:rPr>
          <w:rFonts w:eastAsia="仿宋_GB2312"/>
          <w:kern w:val="0"/>
          <w:sz w:val="24"/>
        </w:rPr>
        <w:t>，</w:t>
      </w:r>
      <w:r>
        <w:rPr>
          <w:rFonts w:eastAsia="仿宋_GB2312"/>
          <w:sz w:val="24"/>
        </w:rPr>
        <w:t>在试运行过程中，建设单位建立了一系列的规章制度和管护措施，建立了完善的工程管理、维修、养护目标责任制，各部门各司其职，分工明确，各区域的管护落实到位，为水土保持工程长期发挥功能奠定了基础。根据现场调查，本工程雨水管网、排水沟排水畅通，透水铺装结构完整，雨水收集池功能正常，绿化措施长势较好。</w:t>
      </w:r>
    </w:p>
    <w:p>
      <w:pPr>
        <w:pStyle w:val="3"/>
        <w:adjustRightInd w:val="0"/>
        <w:spacing w:before="0" w:after="0" w:line="360" w:lineRule="auto"/>
        <w:rPr>
          <w:rFonts w:ascii="Times New Roman" w:hAnsi="Times New Roman" w:eastAsia="仿宋_GB2312"/>
          <w:bCs w:val="0"/>
          <w:sz w:val="28"/>
          <w:szCs w:val="28"/>
        </w:rPr>
      </w:pPr>
      <w:bookmarkStart w:id="13" w:name="_Toc134801911"/>
      <w:r>
        <w:rPr>
          <w:rFonts w:ascii="Times New Roman" w:hAnsi="Times New Roman" w:eastAsia="仿宋_GB2312"/>
          <w:bCs w:val="0"/>
          <w:sz w:val="28"/>
          <w:szCs w:val="28"/>
        </w:rPr>
        <w:t xml:space="preserve">1.3 </w:t>
      </w:r>
      <w:r>
        <w:rPr>
          <w:rFonts w:ascii="Times New Roman" w:hAnsi="Times New Roman" w:eastAsia="仿宋_GB2312"/>
          <w:bCs w:val="0"/>
          <w:sz w:val="28"/>
          <w:szCs w:val="28"/>
          <w:lang w:eastAsia="zh-CN"/>
        </w:rPr>
        <w:t>监测工作实施情况</w:t>
      </w:r>
      <w:bookmarkEnd w:id="13"/>
    </w:p>
    <w:p>
      <w:pPr>
        <w:pStyle w:val="4"/>
        <w:keepLines/>
        <w:topLinePunct/>
        <w:adjustRightInd w:val="0"/>
        <w:snapToGrid w:val="0"/>
        <w:spacing w:line="360" w:lineRule="auto"/>
        <w:rPr>
          <w:kern w:val="0"/>
          <w:sz w:val="24"/>
        </w:rPr>
      </w:pPr>
      <w:r>
        <w:rPr>
          <w:sz w:val="24"/>
          <w:szCs w:val="24"/>
        </w:rPr>
        <w:t>1.3.1 监测实施方案执行情况</w:t>
      </w:r>
    </w:p>
    <w:p>
      <w:pPr>
        <w:autoSpaceDE w:val="0"/>
        <w:autoSpaceDN w:val="0"/>
        <w:adjustRightInd w:val="0"/>
        <w:spacing w:line="360" w:lineRule="auto"/>
        <w:ind w:firstLine="480" w:firstLineChars="200"/>
        <w:rPr>
          <w:rFonts w:eastAsia="仿宋_GB2312"/>
          <w:kern w:val="0"/>
          <w:sz w:val="24"/>
        </w:rPr>
      </w:pPr>
      <w:r>
        <w:rPr>
          <w:rFonts w:hint="eastAsia" w:eastAsia="仿宋_GB2312"/>
          <w:kern w:val="0"/>
          <w:sz w:val="24"/>
        </w:rPr>
        <w:t>根据实际情况，由于</w:t>
      </w:r>
      <w:r>
        <w:rPr>
          <w:rFonts w:hint="eastAsia" w:eastAsia="仿宋_GB2312"/>
          <w:sz w:val="24"/>
        </w:rPr>
        <w:t>疫情影响及其他不可抗因素，工程未实现在计划工期内完工，</w:t>
      </w:r>
      <w:r>
        <w:rPr>
          <w:rFonts w:eastAsia="仿宋_GB2312"/>
          <w:kern w:val="0"/>
          <w:sz w:val="24"/>
        </w:rPr>
        <w:t>我公司</w:t>
      </w:r>
      <w:r>
        <w:rPr>
          <w:rFonts w:hint="eastAsia" w:eastAsia="仿宋_GB2312"/>
          <w:kern w:val="0"/>
          <w:sz w:val="24"/>
        </w:rPr>
        <w:t>于2</w:t>
      </w:r>
      <w:r>
        <w:rPr>
          <w:rFonts w:eastAsia="仿宋_GB2312"/>
          <w:kern w:val="0"/>
          <w:sz w:val="24"/>
        </w:rPr>
        <w:t>022</w:t>
      </w:r>
      <w:r>
        <w:rPr>
          <w:rFonts w:hint="eastAsia" w:eastAsia="仿宋_GB2312"/>
          <w:kern w:val="0"/>
          <w:sz w:val="24"/>
        </w:rPr>
        <w:t>年1</w:t>
      </w:r>
      <w:r>
        <w:rPr>
          <w:rFonts w:eastAsia="仿宋_GB2312"/>
          <w:kern w:val="0"/>
          <w:sz w:val="24"/>
        </w:rPr>
        <w:t>2</w:t>
      </w:r>
      <w:r>
        <w:rPr>
          <w:rFonts w:hint="eastAsia" w:eastAsia="仿宋_GB2312"/>
          <w:kern w:val="0"/>
          <w:sz w:val="24"/>
        </w:rPr>
        <w:t>月</w:t>
      </w:r>
      <w:r>
        <w:rPr>
          <w:rFonts w:eastAsia="仿宋_GB2312"/>
          <w:kern w:val="0"/>
          <w:sz w:val="24"/>
        </w:rPr>
        <w:t>进场开展相关监测工作</w:t>
      </w:r>
      <w:r>
        <w:rPr>
          <w:rFonts w:hint="eastAsia" w:eastAsia="仿宋_GB2312"/>
          <w:kern w:val="0"/>
          <w:sz w:val="24"/>
        </w:rPr>
        <w:t>，编制完成了监测实施方案</w:t>
      </w:r>
      <w:r>
        <w:rPr>
          <w:rFonts w:eastAsia="仿宋_GB2312"/>
          <w:kern w:val="0"/>
          <w:sz w:val="24"/>
        </w:rPr>
        <w:t>。</w:t>
      </w:r>
    </w:p>
    <w:p>
      <w:pPr>
        <w:pStyle w:val="4"/>
        <w:keepLines/>
        <w:topLinePunct/>
        <w:adjustRightInd w:val="0"/>
        <w:snapToGrid w:val="0"/>
        <w:spacing w:line="360" w:lineRule="auto"/>
        <w:rPr>
          <w:sz w:val="24"/>
          <w:szCs w:val="24"/>
        </w:rPr>
      </w:pPr>
      <w:r>
        <w:rPr>
          <w:sz w:val="24"/>
          <w:szCs w:val="24"/>
        </w:rPr>
        <w:t>1.3.2 监测项目部设置</w:t>
      </w:r>
    </w:p>
    <w:p>
      <w:pPr>
        <w:autoSpaceDE w:val="0"/>
        <w:autoSpaceDN w:val="0"/>
        <w:adjustRightInd w:val="0"/>
        <w:spacing w:line="360" w:lineRule="auto"/>
        <w:ind w:firstLine="480" w:firstLineChars="200"/>
        <w:rPr>
          <w:rFonts w:eastAsia="仿宋_GB2312"/>
          <w:kern w:val="0"/>
          <w:sz w:val="24"/>
        </w:rPr>
      </w:pPr>
      <w:r>
        <w:rPr>
          <w:rFonts w:hint="eastAsia" w:eastAsia="仿宋_GB2312"/>
          <w:kern w:val="0"/>
          <w:sz w:val="24"/>
        </w:rPr>
        <w:t>本项目未设置监测项目部</w:t>
      </w:r>
      <w:r>
        <w:rPr>
          <w:rFonts w:eastAsia="仿宋_GB2312"/>
          <w:kern w:val="0"/>
          <w:sz w:val="24"/>
        </w:rPr>
        <w:t>。</w:t>
      </w:r>
    </w:p>
    <w:p>
      <w:pPr>
        <w:pStyle w:val="4"/>
        <w:keepLines/>
        <w:topLinePunct/>
        <w:adjustRightInd w:val="0"/>
        <w:snapToGrid w:val="0"/>
        <w:spacing w:line="360" w:lineRule="auto"/>
        <w:rPr>
          <w:sz w:val="24"/>
          <w:szCs w:val="24"/>
        </w:rPr>
      </w:pPr>
      <w:r>
        <w:rPr>
          <w:sz w:val="24"/>
          <w:szCs w:val="24"/>
        </w:rPr>
        <w:t>1.3.3 监测点布设</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根据水保方案，我公司</w:t>
      </w:r>
      <w:r>
        <w:rPr>
          <w:rFonts w:hint="eastAsia" w:eastAsia="仿宋_GB2312"/>
          <w:kern w:val="0"/>
          <w:sz w:val="24"/>
        </w:rPr>
        <w:t>主要</w:t>
      </w:r>
      <w:r>
        <w:rPr>
          <w:rFonts w:eastAsia="仿宋_GB2312"/>
          <w:kern w:val="0"/>
          <w:sz w:val="24"/>
        </w:rPr>
        <w:t>采取巡查观测，</w:t>
      </w:r>
      <w:r>
        <w:rPr>
          <w:rFonts w:hint="eastAsia" w:eastAsia="仿宋_GB2312"/>
          <w:kern w:val="0"/>
          <w:sz w:val="24"/>
        </w:rPr>
        <w:t>未</w:t>
      </w:r>
      <w:r>
        <w:rPr>
          <w:rFonts w:eastAsia="仿宋_GB2312"/>
          <w:kern w:val="0"/>
          <w:sz w:val="24"/>
        </w:rPr>
        <w:t>布设监测点。</w:t>
      </w:r>
    </w:p>
    <w:p>
      <w:pPr>
        <w:pStyle w:val="4"/>
        <w:keepLines/>
        <w:topLinePunct/>
        <w:adjustRightInd w:val="0"/>
        <w:snapToGrid w:val="0"/>
        <w:spacing w:line="360" w:lineRule="auto"/>
        <w:rPr>
          <w:sz w:val="24"/>
          <w:szCs w:val="24"/>
        </w:rPr>
      </w:pPr>
      <w:r>
        <w:rPr>
          <w:sz w:val="24"/>
          <w:szCs w:val="24"/>
        </w:rPr>
        <w:t>1.3.4 监测设施设备</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水土保持监测所用主要仪器有：手持GPS、测高仪、钢尺、测绳、无人机等。</w:t>
      </w:r>
    </w:p>
    <w:p>
      <w:pPr>
        <w:pStyle w:val="4"/>
        <w:keepLines/>
        <w:topLinePunct/>
        <w:adjustRightInd w:val="0"/>
        <w:snapToGrid w:val="0"/>
        <w:spacing w:line="360" w:lineRule="auto"/>
        <w:rPr>
          <w:kern w:val="0"/>
          <w:sz w:val="24"/>
        </w:rPr>
      </w:pPr>
      <w:r>
        <w:rPr>
          <w:kern w:val="0"/>
          <w:sz w:val="24"/>
        </w:rPr>
        <w:t>1.3.5 监测技术方法</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我公司</w:t>
      </w:r>
      <w:r>
        <w:rPr>
          <w:rFonts w:hint="eastAsia" w:eastAsia="仿宋_GB2312"/>
          <w:kern w:val="0"/>
          <w:sz w:val="24"/>
        </w:rPr>
        <w:t>主要</w:t>
      </w:r>
      <w:r>
        <w:rPr>
          <w:rFonts w:eastAsia="仿宋_GB2312"/>
          <w:kern w:val="0"/>
          <w:sz w:val="24"/>
        </w:rPr>
        <w:t>采取巡查观测方法</w:t>
      </w:r>
      <w:r>
        <w:rPr>
          <w:rFonts w:hint="eastAsia" w:eastAsia="仿宋_GB2312"/>
          <w:kern w:val="0"/>
          <w:sz w:val="24"/>
        </w:rPr>
        <w:t>，对项目进度以及各水土保持措施进行巡查监测</w:t>
      </w:r>
      <w:r>
        <w:rPr>
          <w:rFonts w:eastAsia="仿宋_GB2312"/>
          <w:kern w:val="0"/>
          <w:sz w:val="24"/>
        </w:rPr>
        <w:t>。</w:t>
      </w:r>
    </w:p>
    <w:p>
      <w:pPr>
        <w:pStyle w:val="4"/>
        <w:keepLines/>
        <w:topLinePunct/>
        <w:adjustRightInd w:val="0"/>
        <w:snapToGrid w:val="0"/>
        <w:spacing w:line="360" w:lineRule="auto"/>
        <w:rPr>
          <w:kern w:val="0"/>
          <w:sz w:val="24"/>
        </w:rPr>
      </w:pPr>
      <w:r>
        <w:rPr>
          <w:kern w:val="0"/>
          <w:sz w:val="24"/>
        </w:rPr>
        <w:t>1.3.6 监测成果提交情况</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项目水土保持方案批复后，</w:t>
      </w:r>
      <w:r>
        <w:rPr>
          <w:rFonts w:hint="eastAsia" w:eastAsia="仿宋_GB2312"/>
          <w:kern w:val="0"/>
          <w:sz w:val="24"/>
        </w:rPr>
        <w:t>我公司</w:t>
      </w:r>
      <w:r>
        <w:rPr>
          <w:rFonts w:eastAsia="仿宋_GB2312"/>
          <w:kern w:val="0"/>
          <w:sz w:val="24"/>
        </w:rPr>
        <w:t>成立调查小组，调配各种资源为具体调查作好准备</w:t>
      </w:r>
      <w:r>
        <w:rPr>
          <w:rFonts w:hint="eastAsia" w:eastAsia="仿宋_GB2312"/>
          <w:kern w:val="0"/>
          <w:sz w:val="24"/>
        </w:rPr>
        <w:t>并</w:t>
      </w:r>
      <w:r>
        <w:rPr>
          <w:rFonts w:eastAsia="仿宋_GB2312"/>
          <w:kern w:val="0"/>
          <w:sz w:val="24"/>
        </w:rPr>
        <w:t>于2023年1月进场，收集基础资料，对工程现场进行初步调查，并根据现场水土流失特点和水土保持方案报告书要求，对项目区制定了水土保持措施实施情况及防治效果调查计划。</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通过查阅主体工程的监理报告，结合同类工程推算出施工期水土流失情况；对运行期的水土保持措施实施数量进行核实，水土保持防治效果进行调查；结合主体工程审计报告，核实水土保持措施数量，全面完成各项调查任务扫尾工作，于2023年4月编制完成水土保持监测总结报告。</w:t>
      </w:r>
    </w:p>
    <w:p>
      <w:pPr>
        <w:tabs>
          <w:tab w:val="left" w:pos="1932"/>
        </w:tabs>
        <w:adjustRightInd w:val="0"/>
        <w:spacing w:line="360" w:lineRule="auto"/>
        <w:rPr>
          <w:color w:val="FF0000"/>
        </w:rPr>
        <w:sectPr>
          <w:headerReference r:id="rId8" w:type="default"/>
          <w:footerReference r:id="rId9" w:type="default"/>
          <w:pgSz w:w="11906" w:h="16838"/>
          <w:pgMar w:top="1701" w:right="1418" w:bottom="1701" w:left="1418" w:header="851" w:footer="992" w:gutter="0"/>
          <w:cols w:space="720" w:num="1"/>
          <w:docGrid w:linePitch="312" w:charSpace="0"/>
        </w:sectPr>
      </w:pPr>
    </w:p>
    <w:p>
      <w:pPr>
        <w:pStyle w:val="47"/>
        <w:topLinePunct/>
        <w:adjustRightInd w:val="0"/>
        <w:spacing w:before="0" w:after="0" w:line="360" w:lineRule="auto"/>
        <w:jc w:val="both"/>
        <w:rPr>
          <w:rFonts w:eastAsia="仿宋_GB2312"/>
          <w:szCs w:val="36"/>
        </w:rPr>
      </w:pPr>
      <w:bookmarkStart w:id="14" w:name="_Toc134801912"/>
      <w:r>
        <w:rPr>
          <w:rFonts w:eastAsia="仿宋_GB2312"/>
          <w:szCs w:val="36"/>
        </w:rPr>
        <w:t>2 监测</w:t>
      </w:r>
      <w:r>
        <w:rPr>
          <w:rFonts w:eastAsia="仿宋_GB2312"/>
          <w:szCs w:val="36"/>
          <w:lang w:eastAsia="zh-CN"/>
        </w:rPr>
        <w:t>内容</w:t>
      </w:r>
      <w:r>
        <w:rPr>
          <w:rFonts w:eastAsia="仿宋_GB2312"/>
          <w:szCs w:val="36"/>
        </w:rPr>
        <w:t>与方法</w:t>
      </w:r>
      <w:bookmarkEnd w:id="14"/>
    </w:p>
    <w:p>
      <w:pPr>
        <w:pStyle w:val="3"/>
        <w:adjustRightInd w:val="0"/>
        <w:spacing w:before="0" w:after="0" w:line="360" w:lineRule="auto"/>
        <w:rPr>
          <w:rFonts w:ascii="Times New Roman" w:hAnsi="Times New Roman" w:eastAsia="仿宋_GB2312"/>
          <w:bCs w:val="0"/>
          <w:sz w:val="28"/>
          <w:szCs w:val="28"/>
        </w:rPr>
      </w:pPr>
      <w:bookmarkStart w:id="15" w:name="_Toc134801913"/>
      <w:r>
        <w:rPr>
          <w:rFonts w:ascii="Times New Roman" w:hAnsi="Times New Roman" w:eastAsia="仿宋_GB2312"/>
          <w:bCs w:val="0"/>
          <w:sz w:val="28"/>
          <w:szCs w:val="28"/>
        </w:rPr>
        <w:t xml:space="preserve">2.1 </w:t>
      </w:r>
      <w:r>
        <w:rPr>
          <w:rFonts w:ascii="Times New Roman" w:hAnsi="Times New Roman" w:eastAsia="仿宋_GB2312"/>
          <w:bCs w:val="0"/>
          <w:sz w:val="28"/>
          <w:szCs w:val="28"/>
          <w:lang w:eastAsia="zh-CN"/>
        </w:rPr>
        <w:t>扰动土地情况</w:t>
      </w:r>
      <w:bookmarkEnd w:id="15"/>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（1）监测内容</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扰动土地情况监测的内容包括扰动范围、面积、土地利用类型及其变化情况等。土地利用类型参照GB/T2017土地利用类型二级分类。</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（2）监测方法</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采用实地量测、资料分析的方法，结合已建成区域，在现场确定扰动区域的基础上，在工程图中进行标注，并在CAD中进行量测，随后将各期监测所得的成果报送建设单位确认。</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本工程扰动面积为6.67hm</w:t>
      </w:r>
      <w:r>
        <w:rPr>
          <w:rFonts w:eastAsia="仿宋_GB2312"/>
          <w:kern w:val="0"/>
          <w:sz w:val="24"/>
          <w:vertAlign w:val="superscript"/>
        </w:rPr>
        <w:t>2</w:t>
      </w:r>
      <w:r>
        <w:rPr>
          <w:rFonts w:eastAsia="仿宋_GB2312"/>
          <w:kern w:val="0"/>
          <w:sz w:val="24"/>
        </w:rPr>
        <w:t>，</w:t>
      </w:r>
      <w:r>
        <w:rPr>
          <w:rFonts w:eastAsia="仿宋_GB2312"/>
          <w:sz w:val="24"/>
        </w:rPr>
        <w:t>其中永久占地6.37hm</w:t>
      </w:r>
      <w:r>
        <w:rPr>
          <w:rFonts w:eastAsia="仿宋_GB2312"/>
          <w:sz w:val="24"/>
          <w:vertAlign w:val="superscript"/>
        </w:rPr>
        <w:t>2</w:t>
      </w:r>
      <w:r>
        <w:rPr>
          <w:rFonts w:eastAsia="仿宋_GB2312"/>
          <w:sz w:val="24"/>
        </w:rPr>
        <w:t>，临时占地0.30hm</w:t>
      </w:r>
      <w:r>
        <w:rPr>
          <w:rFonts w:eastAsia="仿宋_GB2312"/>
          <w:sz w:val="24"/>
          <w:vertAlign w:val="superscript"/>
        </w:rPr>
        <w:t>2</w:t>
      </w:r>
      <w:r>
        <w:rPr>
          <w:rFonts w:hint="eastAsia" w:eastAsia="仿宋_GB2312"/>
          <w:sz w:val="24"/>
        </w:rPr>
        <w:t>，</w:t>
      </w:r>
      <w:bookmarkStart w:id="16" w:name="_Hlk108110328"/>
      <w:r>
        <w:rPr>
          <w:rFonts w:hint="eastAsia" w:eastAsia="仿宋_GB2312"/>
          <w:sz w:val="24"/>
        </w:rPr>
        <w:t>根据查阅资料及现场调查，本项目</w:t>
      </w:r>
      <w:bookmarkEnd w:id="16"/>
      <w:r>
        <w:rPr>
          <w:rFonts w:hint="eastAsia" w:eastAsia="仿宋_GB2312"/>
          <w:sz w:val="24"/>
        </w:rPr>
        <w:t>主体内容已全部建设完成，剩余部分临建设施未拆除，经咨询建设单位，本项目临建设施将移交给建设单位另一建设项目“茶园支十五路道路及配套工程”使用，且此临建设施区域将纳入道路工程验收（详见附件5）</w:t>
      </w:r>
      <w:r>
        <w:rPr>
          <w:rFonts w:eastAsia="仿宋_GB2312"/>
          <w:kern w:val="0"/>
          <w:sz w:val="24"/>
        </w:rPr>
        <w:t>。</w:t>
      </w:r>
    </w:p>
    <w:p>
      <w:pPr>
        <w:pStyle w:val="3"/>
        <w:adjustRightInd w:val="0"/>
        <w:spacing w:before="0" w:after="0" w:line="360" w:lineRule="auto"/>
        <w:rPr>
          <w:rFonts w:ascii="Times New Roman" w:hAnsi="Times New Roman" w:eastAsia="仿宋_GB2312"/>
          <w:bCs w:val="0"/>
          <w:sz w:val="28"/>
          <w:szCs w:val="28"/>
        </w:rPr>
      </w:pPr>
      <w:bookmarkStart w:id="17" w:name="_Toc134801914"/>
      <w:r>
        <w:rPr>
          <w:rFonts w:ascii="Times New Roman" w:hAnsi="Times New Roman" w:eastAsia="仿宋_GB2312"/>
          <w:bCs w:val="0"/>
          <w:sz w:val="28"/>
          <w:szCs w:val="28"/>
        </w:rPr>
        <w:t xml:space="preserve">2.2 </w:t>
      </w:r>
      <w:r>
        <w:rPr>
          <w:rFonts w:ascii="Times New Roman" w:hAnsi="Times New Roman" w:eastAsia="仿宋_GB2312"/>
          <w:bCs w:val="0"/>
          <w:sz w:val="28"/>
          <w:szCs w:val="28"/>
          <w:lang w:eastAsia="zh-CN"/>
        </w:rPr>
        <w:t>取土（石、料）弃土（石、渣）情况</w:t>
      </w:r>
      <w:bookmarkEnd w:id="17"/>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本项目土石方工程已完成，挖方</w:t>
      </w:r>
      <w:r>
        <w:rPr>
          <w:rFonts w:hint="eastAsia" w:eastAsia="仿宋_GB2312"/>
          <w:kern w:val="0"/>
          <w:sz w:val="24"/>
        </w:rPr>
        <w:t>约</w:t>
      </w:r>
      <w:r>
        <w:rPr>
          <w:rFonts w:eastAsia="仿宋_GB2312"/>
          <w:kern w:val="0"/>
          <w:sz w:val="24"/>
        </w:rPr>
        <w:t>45万m</w:t>
      </w:r>
      <w:r>
        <w:rPr>
          <w:rFonts w:eastAsia="仿宋_GB2312"/>
          <w:kern w:val="0"/>
          <w:sz w:val="24"/>
          <w:vertAlign w:val="superscript"/>
        </w:rPr>
        <w:t>3</w:t>
      </w:r>
      <w:r>
        <w:rPr>
          <w:rFonts w:eastAsia="仿宋_GB2312"/>
          <w:kern w:val="0"/>
          <w:sz w:val="24"/>
        </w:rPr>
        <w:t>，</w:t>
      </w:r>
      <w:r>
        <w:rPr>
          <w:rFonts w:hint="eastAsia" w:eastAsia="仿宋_GB2312"/>
          <w:kern w:val="0"/>
          <w:sz w:val="24"/>
        </w:rPr>
        <w:t>填方约0</w:t>
      </w:r>
      <w:r>
        <w:rPr>
          <w:rFonts w:eastAsia="仿宋_GB2312"/>
          <w:kern w:val="0"/>
          <w:sz w:val="24"/>
        </w:rPr>
        <w:t>.20万m</w:t>
      </w:r>
      <w:r>
        <w:rPr>
          <w:rFonts w:eastAsia="仿宋_GB2312"/>
          <w:kern w:val="0"/>
          <w:sz w:val="24"/>
          <w:vertAlign w:val="superscript"/>
        </w:rPr>
        <w:t>3</w:t>
      </w:r>
      <w:r>
        <w:rPr>
          <w:rFonts w:eastAsia="仿宋_GB2312"/>
          <w:kern w:val="0"/>
          <w:sz w:val="24"/>
        </w:rPr>
        <w:t>，弃方44.80万m</w:t>
      </w:r>
      <w:r>
        <w:rPr>
          <w:rFonts w:eastAsia="仿宋_GB2312"/>
          <w:kern w:val="0"/>
          <w:sz w:val="24"/>
          <w:vertAlign w:val="superscript"/>
        </w:rPr>
        <w:t>3</w:t>
      </w:r>
      <w:r>
        <w:rPr>
          <w:rFonts w:eastAsia="仿宋_GB2312"/>
          <w:kern w:val="0"/>
          <w:sz w:val="24"/>
        </w:rPr>
        <w:t>，</w:t>
      </w:r>
      <w:r>
        <w:rPr>
          <w:rFonts w:eastAsia="仿宋_GB2312"/>
          <w:sz w:val="24"/>
          <w:szCs w:val="28"/>
        </w:rPr>
        <w:t>弃方全部运往经开区峡口镇土石方消纳场</w:t>
      </w:r>
      <w:r>
        <w:rPr>
          <w:rFonts w:eastAsia="仿宋_GB2312"/>
          <w:sz w:val="24"/>
        </w:rPr>
        <w:t>处置，土石方消纳场核准证及建筑垃圾处置核准证见附件6和</w:t>
      </w:r>
      <w:r>
        <w:rPr>
          <w:rFonts w:hint="eastAsia" w:eastAsia="仿宋_GB2312"/>
          <w:sz w:val="24"/>
        </w:rPr>
        <w:t>附件7</w:t>
      </w:r>
      <w:r>
        <w:rPr>
          <w:rFonts w:eastAsia="仿宋_GB2312"/>
          <w:sz w:val="24"/>
        </w:rPr>
        <w:t>，本项目</w:t>
      </w:r>
      <w:r>
        <w:rPr>
          <w:rFonts w:hint="eastAsia" w:eastAsia="仿宋_GB2312"/>
          <w:sz w:val="24"/>
        </w:rPr>
        <w:t>未</w:t>
      </w:r>
      <w:r>
        <w:rPr>
          <w:rFonts w:eastAsia="仿宋_GB2312"/>
          <w:sz w:val="24"/>
        </w:rPr>
        <w:t>自设弃渣场</w:t>
      </w:r>
      <w:r>
        <w:rPr>
          <w:rFonts w:eastAsia="仿宋_GB2312"/>
          <w:kern w:val="0"/>
          <w:sz w:val="24"/>
        </w:rPr>
        <w:t>，因此不对弃渣进行监测。</w:t>
      </w:r>
    </w:p>
    <w:p>
      <w:pPr>
        <w:pStyle w:val="3"/>
        <w:adjustRightInd w:val="0"/>
        <w:spacing w:before="0" w:after="0" w:line="360" w:lineRule="auto"/>
        <w:rPr>
          <w:rFonts w:ascii="Times New Roman" w:hAnsi="Times New Roman" w:eastAsia="仿宋_GB2312"/>
          <w:bCs w:val="0"/>
          <w:sz w:val="28"/>
          <w:szCs w:val="28"/>
        </w:rPr>
      </w:pPr>
      <w:bookmarkStart w:id="18" w:name="_Toc134801915"/>
      <w:r>
        <w:rPr>
          <w:rFonts w:ascii="Times New Roman" w:hAnsi="Times New Roman" w:eastAsia="仿宋_GB2312"/>
          <w:bCs w:val="0"/>
          <w:sz w:val="28"/>
          <w:szCs w:val="28"/>
        </w:rPr>
        <w:t xml:space="preserve">2.3 </w:t>
      </w:r>
      <w:r>
        <w:rPr>
          <w:rFonts w:ascii="Times New Roman" w:hAnsi="Times New Roman" w:eastAsia="仿宋_GB2312"/>
          <w:bCs w:val="0"/>
          <w:sz w:val="28"/>
          <w:szCs w:val="28"/>
          <w:lang w:eastAsia="zh-CN"/>
        </w:rPr>
        <w:t>水土流失情况监测</w:t>
      </w:r>
      <w:bookmarkEnd w:id="18"/>
    </w:p>
    <w:p>
      <w:pPr>
        <w:pStyle w:val="63"/>
        <w:numPr>
          <w:ilvl w:val="0"/>
          <w:numId w:val="4"/>
        </w:numPr>
        <w:autoSpaceDE w:val="0"/>
        <w:autoSpaceDN w:val="0"/>
        <w:adjustRightInd w:val="0"/>
        <w:spacing w:line="360" w:lineRule="auto"/>
        <w:ind w:firstLineChars="0"/>
        <w:rPr>
          <w:kern w:val="0"/>
        </w:rPr>
      </w:pPr>
      <w:r>
        <w:rPr>
          <w:kern w:val="0"/>
        </w:rPr>
        <w:t>监测内容</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水土流失情况监测主要包括土壤流失面积、土壤流失量和水土流失危害内容。</w:t>
      </w:r>
    </w:p>
    <w:p>
      <w:pPr>
        <w:pStyle w:val="63"/>
        <w:numPr>
          <w:ilvl w:val="0"/>
          <w:numId w:val="4"/>
        </w:numPr>
        <w:autoSpaceDE w:val="0"/>
        <w:autoSpaceDN w:val="0"/>
        <w:adjustRightInd w:val="0"/>
        <w:spacing w:line="360" w:lineRule="auto"/>
        <w:ind w:firstLineChars="0"/>
        <w:rPr>
          <w:kern w:val="0"/>
        </w:rPr>
      </w:pPr>
      <w:r>
        <w:rPr>
          <w:kern w:val="0"/>
        </w:rPr>
        <w:t>监测方法</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水土流失情况监测采用地面观测、实地量测、遥感监测和资料分析的方法。土壤流失量是指输出项目建设区的土、石、沙数量。水土流失危害是指项目建设引起的基础设施和民用设施的损毁，水库淤积、河道阻塞、滑坡、泥石流等危害。由于本项目已进入收尾阶段，水土流失情况通过类似项目历史数据作为参考综合得出。</w:t>
      </w:r>
    </w:p>
    <w:p>
      <w:pPr>
        <w:pStyle w:val="3"/>
        <w:adjustRightInd w:val="0"/>
        <w:spacing w:before="0" w:after="0" w:line="360" w:lineRule="auto"/>
        <w:rPr>
          <w:rFonts w:ascii="Times New Roman" w:hAnsi="Times New Roman" w:eastAsia="仿宋_GB2312"/>
          <w:bCs w:val="0"/>
          <w:sz w:val="28"/>
          <w:szCs w:val="28"/>
        </w:rPr>
      </w:pPr>
      <w:bookmarkStart w:id="19" w:name="_Toc134801916"/>
      <w:r>
        <w:rPr>
          <w:rFonts w:ascii="Times New Roman" w:hAnsi="Times New Roman" w:eastAsia="仿宋_GB2312"/>
          <w:bCs w:val="0"/>
          <w:sz w:val="28"/>
          <w:szCs w:val="28"/>
        </w:rPr>
        <w:t xml:space="preserve">2.4 </w:t>
      </w:r>
      <w:r>
        <w:rPr>
          <w:rFonts w:ascii="Times New Roman" w:hAnsi="Times New Roman" w:eastAsia="仿宋_GB2312"/>
          <w:bCs w:val="0"/>
          <w:sz w:val="28"/>
          <w:szCs w:val="28"/>
          <w:lang w:eastAsia="zh-CN"/>
        </w:rPr>
        <w:t>水土保持措施</w:t>
      </w:r>
      <w:bookmarkEnd w:id="19"/>
    </w:p>
    <w:p>
      <w:pPr>
        <w:pStyle w:val="63"/>
        <w:numPr>
          <w:ilvl w:val="0"/>
          <w:numId w:val="5"/>
        </w:numPr>
        <w:autoSpaceDE w:val="0"/>
        <w:autoSpaceDN w:val="0"/>
        <w:adjustRightInd w:val="0"/>
        <w:spacing w:line="360" w:lineRule="auto"/>
        <w:ind w:firstLineChars="0"/>
        <w:rPr>
          <w:kern w:val="0"/>
        </w:rPr>
      </w:pPr>
      <w:r>
        <w:rPr>
          <w:kern w:val="0"/>
        </w:rPr>
        <w:t>监测内容</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应对工程措施、植物措施和临时措施进行全面监测。监测内容包括措施类型、开（完）工日期、位置、规格、尺寸、数量、林草覆盖度（郁闭度）、防治效果、运行状况等。</w:t>
      </w:r>
    </w:p>
    <w:p>
      <w:pPr>
        <w:pStyle w:val="63"/>
        <w:numPr>
          <w:ilvl w:val="0"/>
          <w:numId w:val="5"/>
        </w:numPr>
        <w:autoSpaceDE w:val="0"/>
        <w:autoSpaceDN w:val="0"/>
        <w:adjustRightInd w:val="0"/>
        <w:spacing w:line="360" w:lineRule="auto"/>
        <w:ind w:firstLineChars="0"/>
        <w:rPr>
          <w:kern w:val="0"/>
        </w:rPr>
      </w:pPr>
      <w:r>
        <w:rPr>
          <w:kern w:val="0"/>
        </w:rPr>
        <w:t>监测方法</w:t>
      </w:r>
    </w:p>
    <w:p>
      <w:pPr>
        <w:pStyle w:val="63"/>
        <w:numPr>
          <w:ilvl w:val="0"/>
          <w:numId w:val="6"/>
        </w:numPr>
        <w:autoSpaceDE w:val="0"/>
        <w:autoSpaceDN w:val="0"/>
        <w:adjustRightInd w:val="0"/>
        <w:spacing w:line="360" w:lineRule="auto"/>
        <w:ind w:firstLineChars="0"/>
        <w:rPr>
          <w:kern w:val="0"/>
        </w:rPr>
      </w:pPr>
      <w:r>
        <w:rPr>
          <w:kern w:val="0"/>
        </w:rPr>
        <w:t>植物措施指标</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包括植物类型及面积、成活率及生长状况、植被盖度(郁闭度)。植物类型及面积采用调查法监测；成活率、保存率及生长状况采用抽样调查的方法确定；植被(郁闭)盖度采用树冠投影法、线段法、照相法、针刺法；林草植被覆盖度根据调查获得的植被面积按照林草措施面积/项目建设区面积计算。每季度监测1次。</w:t>
      </w:r>
    </w:p>
    <w:p>
      <w:pPr>
        <w:pStyle w:val="63"/>
        <w:numPr>
          <w:ilvl w:val="0"/>
          <w:numId w:val="6"/>
        </w:numPr>
        <w:autoSpaceDE w:val="0"/>
        <w:autoSpaceDN w:val="0"/>
        <w:adjustRightInd w:val="0"/>
        <w:spacing w:line="360" w:lineRule="auto"/>
        <w:ind w:firstLineChars="0"/>
        <w:rPr>
          <w:kern w:val="0"/>
        </w:rPr>
      </w:pPr>
      <w:r>
        <w:rPr>
          <w:kern w:val="0"/>
        </w:rPr>
        <w:t>工程措施和临时措施指标</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包括工程措施和临时措施工程量、完好程度及运行情况、施工进度。以调查法为主，在查阅设计、监理等资料的基础上，并通过现场实地调查确定工程措施的工程量，并对措施的稳定性、完好程度及运行情况及时进行监测。每月监测1次。由于项目已进入收尾阶段，且临时措施是结合主体建设一起进行，无法单独统计工程量，所以临时措施已无法监测。</w:t>
      </w:r>
    </w:p>
    <w:p>
      <w:pPr>
        <w:autoSpaceDE w:val="0"/>
        <w:autoSpaceDN w:val="0"/>
        <w:adjustRightInd w:val="0"/>
        <w:spacing w:line="360" w:lineRule="auto"/>
        <w:rPr>
          <w:rFonts w:eastAsia="仿宋_GB2312"/>
          <w:color w:val="FF0000"/>
          <w:kern w:val="0"/>
          <w:sz w:val="24"/>
        </w:rPr>
        <w:sectPr>
          <w:headerReference r:id="rId10" w:type="default"/>
          <w:headerReference r:id="rId11" w:type="even"/>
          <w:pgSz w:w="11906" w:h="16838"/>
          <w:pgMar w:top="1701" w:right="1418" w:bottom="1701" w:left="1418" w:header="851" w:footer="992" w:gutter="0"/>
          <w:cols w:space="720" w:num="1"/>
          <w:docGrid w:linePitch="312" w:charSpace="0"/>
        </w:sectPr>
      </w:pPr>
    </w:p>
    <w:p>
      <w:pPr>
        <w:pStyle w:val="47"/>
        <w:topLinePunct/>
        <w:adjustRightInd w:val="0"/>
        <w:spacing w:before="0" w:after="0" w:line="360" w:lineRule="auto"/>
        <w:jc w:val="both"/>
        <w:rPr>
          <w:rFonts w:eastAsia="仿宋_GB2312"/>
          <w:szCs w:val="36"/>
        </w:rPr>
      </w:pPr>
      <w:bookmarkStart w:id="20" w:name="_Toc134801917"/>
      <w:r>
        <w:rPr>
          <w:rFonts w:eastAsia="仿宋_GB2312"/>
          <w:szCs w:val="36"/>
        </w:rPr>
        <w:t xml:space="preserve">3 </w:t>
      </w:r>
      <w:r>
        <w:rPr>
          <w:rFonts w:eastAsia="仿宋_GB2312"/>
          <w:szCs w:val="36"/>
          <w:lang w:eastAsia="zh-CN"/>
        </w:rPr>
        <w:t>重点部位水土流失动态监测</w:t>
      </w:r>
      <w:bookmarkEnd w:id="20"/>
    </w:p>
    <w:p>
      <w:pPr>
        <w:pStyle w:val="3"/>
        <w:adjustRightInd w:val="0"/>
        <w:spacing w:before="0" w:after="0" w:line="360" w:lineRule="auto"/>
        <w:rPr>
          <w:rFonts w:ascii="Times New Roman" w:hAnsi="Times New Roman" w:eastAsia="仿宋_GB2312"/>
          <w:bCs w:val="0"/>
          <w:sz w:val="28"/>
          <w:szCs w:val="28"/>
        </w:rPr>
      </w:pPr>
      <w:bookmarkStart w:id="21" w:name="_Toc134801918"/>
      <w:r>
        <w:rPr>
          <w:rFonts w:ascii="Times New Roman" w:hAnsi="Times New Roman" w:eastAsia="仿宋_GB2312"/>
          <w:bCs w:val="0"/>
          <w:sz w:val="28"/>
          <w:szCs w:val="28"/>
        </w:rPr>
        <w:t xml:space="preserve">3.1 </w:t>
      </w:r>
      <w:r>
        <w:rPr>
          <w:rFonts w:ascii="Times New Roman" w:hAnsi="Times New Roman" w:eastAsia="仿宋_GB2312"/>
          <w:bCs w:val="0"/>
          <w:sz w:val="28"/>
          <w:szCs w:val="28"/>
          <w:lang w:eastAsia="zh-CN"/>
        </w:rPr>
        <w:t>防治责任范围监测</w:t>
      </w:r>
      <w:bookmarkEnd w:id="21"/>
    </w:p>
    <w:p>
      <w:pPr>
        <w:pStyle w:val="4"/>
        <w:keepLines/>
        <w:topLinePunct/>
        <w:adjustRightInd w:val="0"/>
        <w:snapToGrid w:val="0"/>
        <w:spacing w:line="360" w:lineRule="auto"/>
        <w:rPr>
          <w:bCs w:val="0"/>
          <w:sz w:val="24"/>
          <w:szCs w:val="24"/>
        </w:rPr>
      </w:pPr>
      <w:r>
        <w:rPr>
          <w:bCs w:val="0"/>
          <w:sz w:val="24"/>
          <w:szCs w:val="24"/>
        </w:rPr>
        <w:t xml:space="preserve">3.1.1 </w:t>
      </w:r>
      <w:r>
        <w:rPr>
          <w:bCs w:val="0"/>
          <w:sz w:val="24"/>
          <w:szCs w:val="24"/>
          <w:lang w:eastAsia="zh-CN"/>
        </w:rPr>
        <w:t>水土流失防治责任范围</w:t>
      </w:r>
    </w:p>
    <w:p>
      <w:pPr>
        <w:pStyle w:val="63"/>
        <w:numPr>
          <w:ilvl w:val="0"/>
          <w:numId w:val="7"/>
        </w:numPr>
        <w:autoSpaceDE w:val="0"/>
        <w:autoSpaceDN w:val="0"/>
        <w:adjustRightInd w:val="0"/>
        <w:spacing w:line="360" w:lineRule="auto"/>
        <w:ind w:firstLineChars="0"/>
        <w:rPr>
          <w:snapToGrid w:val="0"/>
        </w:rPr>
      </w:pPr>
      <w:r>
        <w:rPr>
          <w:kern w:val="0"/>
        </w:rPr>
        <w:t>方案中设计水土流失防治责任范围</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本项目水土流失防治责任范围面积为6.67hm</w:t>
      </w:r>
      <w:r>
        <w:rPr>
          <w:rFonts w:eastAsia="仿宋_GB2312"/>
          <w:kern w:val="0"/>
          <w:sz w:val="24"/>
          <w:vertAlign w:val="superscript"/>
        </w:rPr>
        <w:t>2</w:t>
      </w:r>
      <w:r>
        <w:rPr>
          <w:rFonts w:eastAsia="仿宋_GB2312"/>
          <w:kern w:val="0"/>
          <w:sz w:val="24"/>
        </w:rPr>
        <w:t>。根据工程布局与施工特点，本项目水土流失防治分区划分为项目建设区、施工生产生活区2个防治分区。</w:t>
      </w:r>
    </w:p>
    <w:p>
      <w:pPr>
        <w:pStyle w:val="63"/>
        <w:numPr>
          <w:ilvl w:val="0"/>
          <w:numId w:val="7"/>
        </w:numPr>
        <w:autoSpaceDE w:val="0"/>
        <w:autoSpaceDN w:val="0"/>
        <w:adjustRightInd w:val="0"/>
        <w:spacing w:line="360" w:lineRule="auto"/>
        <w:ind w:firstLineChars="0"/>
        <w:rPr>
          <w:snapToGrid w:val="0"/>
        </w:rPr>
      </w:pPr>
      <w:r>
        <w:rPr>
          <w:snapToGrid w:val="0"/>
        </w:rPr>
        <w:t>实际水土流失防治责任范围</w:t>
      </w:r>
    </w:p>
    <w:p>
      <w:pPr>
        <w:autoSpaceDE w:val="0"/>
        <w:autoSpaceDN w:val="0"/>
        <w:adjustRightInd w:val="0"/>
        <w:spacing w:line="360" w:lineRule="auto"/>
        <w:ind w:firstLine="480" w:firstLineChars="200"/>
        <w:rPr>
          <w:rFonts w:eastAsia="仿宋_GB2312"/>
          <w:snapToGrid w:val="0"/>
          <w:sz w:val="24"/>
        </w:rPr>
      </w:pPr>
      <w:r>
        <w:rPr>
          <w:rFonts w:eastAsia="仿宋_GB2312"/>
          <w:snapToGrid w:val="0"/>
          <w:sz w:val="24"/>
        </w:rPr>
        <w:t>根据</w:t>
      </w:r>
      <w:r>
        <w:rPr>
          <w:rFonts w:hint="eastAsia" w:eastAsia="仿宋_GB2312"/>
          <w:snapToGrid w:val="0"/>
          <w:sz w:val="24"/>
        </w:rPr>
        <w:t>现场调查以及建设用地规划许可证，并</w:t>
      </w:r>
      <w:r>
        <w:rPr>
          <w:rFonts w:eastAsia="仿宋_GB2312"/>
          <w:snapToGrid w:val="0"/>
          <w:sz w:val="24"/>
        </w:rPr>
        <w:t>咨询</w:t>
      </w:r>
      <w:r>
        <w:rPr>
          <w:rFonts w:hint="eastAsia" w:eastAsia="仿宋_GB2312"/>
          <w:snapToGrid w:val="0"/>
          <w:sz w:val="24"/>
        </w:rPr>
        <w:t>建设</w:t>
      </w:r>
      <w:r>
        <w:rPr>
          <w:rFonts w:eastAsia="仿宋_GB2312"/>
          <w:snapToGrid w:val="0"/>
          <w:sz w:val="24"/>
        </w:rPr>
        <w:t>单位，</w:t>
      </w:r>
      <w:r>
        <w:rPr>
          <w:rFonts w:hint="eastAsia" w:eastAsia="仿宋_GB2312"/>
          <w:sz w:val="24"/>
        </w:rPr>
        <w:t>本项目临建设施移交给建设单位另一建设项目“茶园支十五路道路及配套工程”使用，且此临建设施区域将纳入道路工程验收（移交情况说明见附件5）</w:t>
      </w:r>
      <w:r>
        <w:rPr>
          <w:rFonts w:eastAsia="仿宋_GB2312"/>
          <w:snapToGrid w:val="0"/>
          <w:sz w:val="24"/>
        </w:rPr>
        <w:t>。因此，</w:t>
      </w:r>
      <w:r>
        <w:rPr>
          <w:rFonts w:hint="eastAsia" w:eastAsia="仿宋_GB2312"/>
          <w:snapToGrid w:val="0"/>
          <w:sz w:val="24"/>
        </w:rPr>
        <w:t>施工生产生活区不纳入本次监测，</w:t>
      </w:r>
      <w:r>
        <w:rPr>
          <w:rFonts w:eastAsia="仿宋_GB2312"/>
          <w:snapToGrid w:val="0"/>
          <w:sz w:val="24"/>
        </w:rPr>
        <w:t>实际水土流失防治责任</w:t>
      </w:r>
      <w:r>
        <w:rPr>
          <w:rFonts w:hint="eastAsia" w:eastAsia="仿宋_GB2312"/>
          <w:snapToGrid w:val="0"/>
          <w:sz w:val="24"/>
        </w:rPr>
        <w:t>范围</w:t>
      </w:r>
      <w:r>
        <w:rPr>
          <w:rFonts w:eastAsia="仿宋_GB2312"/>
          <w:snapToGrid w:val="0"/>
          <w:sz w:val="24"/>
        </w:rPr>
        <w:t>为6.37hm</w:t>
      </w:r>
      <w:r>
        <w:rPr>
          <w:rFonts w:eastAsia="仿宋_GB2312"/>
          <w:snapToGrid w:val="0"/>
          <w:sz w:val="24"/>
          <w:vertAlign w:val="superscript"/>
        </w:rPr>
        <w:t>2</w:t>
      </w:r>
      <w:r>
        <w:rPr>
          <w:rFonts w:eastAsia="仿宋_GB2312"/>
          <w:snapToGrid w:val="0"/>
          <w:sz w:val="24"/>
        </w:rPr>
        <w:t>。</w:t>
      </w:r>
    </w:p>
    <w:p>
      <w:pPr>
        <w:adjustRightInd w:val="0"/>
        <w:snapToGrid w:val="0"/>
        <w:spacing w:line="360" w:lineRule="auto"/>
        <w:jc w:val="right"/>
        <w:rPr>
          <w:rFonts w:eastAsia="仿宋_GB2312"/>
          <w:b/>
          <w:sz w:val="24"/>
        </w:rPr>
      </w:pPr>
      <w:r>
        <w:rPr>
          <w:rFonts w:eastAsia="仿宋_GB2312"/>
          <w:b/>
          <w:sz w:val="24"/>
        </w:rPr>
        <w:t xml:space="preserve">表3-1 </w:t>
      </w:r>
      <w:bookmarkStart w:id="22" w:name="OLE_LINK2"/>
      <w:r>
        <w:rPr>
          <w:rFonts w:eastAsia="仿宋_GB2312"/>
          <w:b/>
          <w:sz w:val="24"/>
        </w:rPr>
        <w:t>水土流失防治责任范围变化             单位：hm</w:t>
      </w:r>
      <w:r>
        <w:rPr>
          <w:rFonts w:eastAsia="仿宋_GB2312"/>
          <w:b/>
          <w:sz w:val="24"/>
          <w:vertAlign w:val="superscript"/>
        </w:rPr>
        <w:t>2</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1157"/>
        <w:gridCol w:w="1164"/>
        <w:gridCol w:w="1309"/>
        <w:gridCol w:w="3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1" w:type="pct"/>
            <w:vMerge w:val="restart"/>
            <w:vAlign w:val="center"/>
          </w:tcPr>
          <w:p>
            <w:pPr>
              <w:autoSpaceDE w:val="0"/>
              <w:autoSpaceDN w:val="0"/>
              <w:adjustRightInd w:val="0"/>
              <w:jc w:val="center"/>
              <w:rPr>
                <w:rFonts w:eastAsia="仿宋_GB2312"/>
                <w:b/>
                <w:bCs/>
                <w:snapToGrid w:val="0"/>
                <w:szCs w:val="21"/>
              </w:rPr>
            </w:pPr>
            <w:bookmarkStart w:id="23" w:name="OLE_LINK1"/>
            <w:r>
              <w:rPr>
                <w:rFonts w:eastAsia="仿宋_GB2312"/>
                <w:b/>
                <w:bCs/>
                <w:snapToGrid w:val="0"/>
                <w:szCs w:val="21"/>
              </w:rPr>
              <w:t>项目组成</w:t>
            </w:r>
          </w:p>
        </w:tc>
        <w:tc>
          <w:tcPr>
            <w:tcW w:w="1250" w:type="pct"/>
            <w:gridSpan w:val="2"/>
            <w:vAlign w:val="center"/>
          </w:tcPr>
          <w:p>
            <w:pPr>
              <w:autoSpaceDE w:val="0"/>
              <w:autoSpaceDN w:val="0"/>
              <w:adjustRightInd w:val="0"/>
              <w:jc w:val="center"/>
              <w:rPr>
                <w:rFonts w:eastAsia="仿宋_GB2312"/>
                <w:b/>
                <w:bCs/>
                <w:snapToGrid w:val="0"/>
                <w:szCs w:val="21"/>
              </w:rPr>
            </w:pPr>
            <w:r>
              <w:rPr>
                <w:rFonts w:eastAsia="仿宋_GB2312"/>
                <w:b/>
                <w:bCs/>
                <w:snapToGrid w:val="0"/>
                <w:szCs w:val="21"/>
              </w:rPr>
              <w:t>防治责任范围</w:t>
            </w:r>
          </w:p>
        </w:tc>
        <w:tc>
          <w:tcPr>
            <w:tcW w:w="705" w:type="pct"/>
            <w:vMerge w:val="restart"/>
            <w:vAlign w:val="center"/>
          </w:tcPr>
          <w:p>
            <w:pPr>
              <w:autoSpaceDE w:val="0"/>
              <w:autoSpaceDN w:val="0"/>
              <w:adjustRightInd w:val="0"/>
              <w:jc w:val="center"/>
              <w:rPr>
                <w:rFonts w:eastAsia="仿宋_GB2312"/>
                <w:b/>
                <w:bCs/>
                <w:snapToGrid w:val="0"/>
                <w:szCs w:val="21"/>
              </w:rPr>
            </w:pPr>
            <w:r>
              <w:rPr>
                <w:rFonts w:eastAsia="仿宋_GB2312"/>
                <w:b/>
                <w:bCs/>
                <w:snapToGrid w:val="0"/>
                <w:szCs w:val="21"/>
              </w:rPr>
              <w:t>增减变化</w:t>
            </w:r>
          </w:p>
        </w:tc>
        <w:tc>
          <w:tcPr>
            <w:tcW w:w="1794" w:type="pct"/>
            <w:vMerge w:val="restart"/>
            <w:vAlign w:val="center"/>
          </w:tcPr>
          <w:p>
            <w:pPr>
              <w:autoSpaceDE w:val="0"/>
              <w:autoSpaceDN w:val="0"/>
              <w:adjustRightInd w:val="0"/>
              <w:jc w:val="center"/>
              <w:rPr>
                <w:rFonts w:eastAsia="仿宋_GB2312"/>
                <w:b/>
                <w:bCs/>
                <w:snapToGrid w:val="0"/>
                <w:szCs w:val="21"/>
              </w:rPr>
            </w:pPr>
            <w:r>
              <w:rPr>
                <w:rFonts w:eastAsia="仿宋_GB2312"/>
                <w:b/>
                <w:bCs/>
                <w:snapToGrid w:val="0"/>
                <w:szCs w:val="21"/>
              </w:rPr>
              <w:t>变化原因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1" w:type="pct"/>
            <w:vMerge w:val="continue"/>
            <w:vAlign w:val="center"/>
          </w:tcPr>
          <w:p>
            <w:pPr>
              <w:autoSpaceDE w:val="0"/>
              <w:autoSpaceDN w:val="0"/>
              <w:adjustRightInd w:val="0"/>
              <w:jc w:val="center"/>
              <w:rPr>
                <w:rFonts w:eastAsia="仿宋_GB2312"/>
                <w:snapToGrid w:val="0"/>
                <w:szCs w:val="21"/>
              </w:rPr>
            </w:pPr>
          </w:p>
        </w:tc>
        <w:tc>
          <w:tcPr>
            <w:tcW w:w="623" w:type="pct"/>
            <w:vAlign w:val="center"/>
          </w:tcPr>
          <w:p>
            <w:pPr>
              <w:autoSpaceDE w:val="0"/>
              <w:autoSpaceDN w:val="0"/>
              <w:adjustRightInd w:val="0"/>
              <w:jc w:val="center"/>
              <w:rPr>
                <w:rFonts w:eastAsia="仿宋_GB2312"/>
                <w:b/>
                <w:bCs/>
                <w:snapToGrid w:val="0"/>
                <w:szCs w:val="21"/>
              </w:rPr>
            </w:pPr>
            <w:r>
              <w:rPr>
                <w:rFonts w:eastAsia="仿宋_GB2312"/>
                <w:b/>
                <w:bCs/>
                <w:snapToGrid w:val="0"/>
                <w:szCs w:val="21"/>
              </w:rPr>
              <w:t>方案拟定</w:t>
            </w:r>
          </w:p>
        </w:tc>
        <w:tc>
          <w:tcPr>
            <w:tcW w:w="627" w:type="pct"/>
            <w:vAlign w:val="center"/>
          </w:tcPr>
          <w:p>
            <w:pPr>
              <w:autoSpaceDE w:val="0"/>
              <w:autoSpaceDN w:val="0"/>
              <w:adjustRightInd w:val="0"/>
              <w:jc w:val="center"/>
              <w:rPr>
                <w:rFonts w:eastAsia="仿宋_GB2312"/>
                <w:b/>
                <w:bCs/>
                <w:snapToGrid w:val="0"/>
                <w:szCs w:val="21"/>
              </w:rPr>
            </w:pPr>
            <w:r>
              <w:rPr>
                <w:rFonts w:eastAsia="仿宋_GB2312"/>
                <w:b/>
                <w:bCs/>
                <w:snapToGrid w:val="0"/>
                <w:szCs w:val="21"/>
              </w:rPr>
              <w:t>实际扰动</w:t>
            </w:r>
          </w:p>
        </w:tc>
        <w:tc>
          <w:tcPr>
            <w:tcW w:w="705" w:type="pct"/>
            <w:vMerge w:val="continue"/>
            <w:vAlign w:val="center"/>
          </w:tcPr>
          <w:p>
            <w:pPr>
              <w:autoSpaceDE w:val="0"/>
              <w:autoSpaceDN w:val="0"/>
              <w:adjustRightInd w:val="0"/>
              <w:jc w:val="center"/>
              <w:rPr>
                <w:rFonts w:eastAsia="仿宋_GB2312"/>
                <w:snapToGrid w:val="0"/>
                <w:szCs w:val="21"/>
              </w:rPr>
            </w:pPr>
          </w:p>
        </w:tc>
        <w:tc>
          <w:tcPr>
            <w:tcW w:w="1794" w:type="pct"/>
            <w:vMerge w:val="continue"/>
            <w:vAlign w:val="center"/>
          </w:tcPr>
          <w:p>
            <w:pPr>
              <w:autoSpaceDE w:val="0"/>
              <w:autoSpaceDN w:val="0"/>
              <w:adjustRightInd w:val="0"/>
              <w:jc w:val="center"/>
              <w:rPr>
                <w:rFonts w:eastAsia="仿宋_GB2312"/>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1" w:type="pct"/>
            <w:vAlign w:val="center"/>
          </w:tcPr>
          <w:p>
            <w:pPr>
              <w:autoSpaceDE w:val="0"/>
              <w:autoSpaceDN w:val="0"/>
              <w:adjustRightInd w:val="0"/>
              <w:jc w:val="center"/>
              <w:rPr>
                <w:rFonts w:eastAsia="仿宋_GB2312"/>
                <w:snapToGrid w:val="0"/>
                <w:szCs w:val="21"/>
              </w:rPr>
            </w:pPr>
            <w:r>
              <w:rPr>
                <w:rFonts w:eastAsia="仿宋_GB2312"/>
              </w:rPr>
              <w:t>项目建设防治区</w:t>
            </w:r>
          </w:p>
        </w:tc>
        <w:tc>
          <w:tcPr>
            <w:tcW w:w="623" w:type="pct"/>
            <w:vAlign w:val="center"/>
          </w:tcPr>
          <w:p>
            <w:pPr>
              <w:autoSpaceDE w:val="0"/>
              <w:autoSpaceDN w:val="0"/>
              <w:adjustRightInd w:val="0"/>
              <w:jc w:val="center"/>
              <w:rPr>
                <w:rFonts w:eastAsia="仿宋_GB2312"/>
                <w:snapToGrid w:val="0"/>
                <w:szCs w:val="21"/>
              </w:rPr>
            </w:pPr>
            <w:r>
              <w:t>6.37</w:t>
            </w:r>
          </w:p>
        </w:tc>
        <w:tc>
          <w:tcPr>
            <w:tcW w:w="627" w:type="pct"/>
            <w:vAlign w:val="center"/>
          </w:tcPr>
          <w:p>
            <w:pPr>
              <w:autoSpaceDE w:val="0"/>
              <w:autoSpaceDN w:val="0"/>
              <w:adjustRightInd w:val="0"/>
              <w:jc w:val="center"/>
              <w:rPr>
                <w:rFonts w:eastAsia="仿宋_GB2312"/>
                <w:snapToGrid w:val="0"/>
                <w:szCs w:val="21"/>
              </w:rPr>
            </w:pPr>
            <w:r>
              <w:t>6.37</w:t>
            </w:r>
          </w:p>
        </w:tc>
        <w:tc>
          <w:tcPr>
            <w:tcW w:w="705" w:type="pct"/>
            <w:vAlign w:val="center"/>
          </w:tcPr>
          <w:p>
            <w:pPr>
              <w:autoSpaceDE w:val="0"/>
              <w:autoSpaceDN w:val="0"/>
              <w:adjustRightInd w:val="0"/>
              <w:jc w:val="center"/>
              <w:rPr>
                <w:rFonts w:eastAsia="仿宋_GB2312"/>
                <w:snapToGrid w:val="0"/>
                <w:szCs w:val="21"/>
              </w:rPr>
            </w:pPr>
            <w:r>
              <w:rPr>
                <w:rFonts w:eastAsia="仿宋_GB2312"/>
                <w:snapToGrid w:val="0"/>
                <w:szCs w:val="21"/>
              </w:rPr>
              <w:t>/</w:t>
            </w:r>
          </w:p>
        </w:tc>
        <w:tc>
          <w:tcPr>
            <w:tcW w:w="1794" w:type="pct"/>
            <w:vAlign w:val="center"/>
          </w:tcPr>
          <w:p>
            <w:pPr>
              <w:autoSpaceDE w:val="0"/>
              <w:autoSpaceDN w:val="0"/>
              <w:adjustRightInd w:val="0"/>
              <w:jc w:val="center"/>
              <w:rPr>
                <w:rFonts w:eastAsia="仿宋_GB2312"/>
                <w:snapToGrid w:val="0"/>
                <w:szCs w:val="21"/>
              </w:rPr>
            </w:pPr>
            <w:r>
              <w:rPr>
                <w:rFonts w:hint="eastAsia" w:eastAsia="仿宋_GB2312"/>
                <w:snapToGrid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1" w:type="pct"/>
            <w:vAlign w:val="center"/>
          </w:tcPr>
          <w:p>
            <w:pPr>
              <w:autoSpaceDE w:val="0"/>
              <w:autoSpaceDN w:val="0"/>
              <w:adjustRightInd w:val="0"/>
              <w:jc w:val="center"/>
              <w:rPr>
                <w:rFonts w:eastAsia="仿宋_GB2312"/>
                <w:snapToGrid w:val="0"/>
                <w:szCs w:val="21"/>
              </w:rPr>
            </w:pPr>
            <w:r>
              <w:rPr>
                <w:rFonts w:eastAsia="仿宋_GB2312"/>
                <w:snapToGrid w:val="0"/>
                <w:szCs w:val="21"/>
              </w:rPr>
              <w:t>合计</w:t>
            </w:r>
          </w:p>
        </w:tc>
        <w:tc>
          <w:tcPr>
            <w:tcW w:w="623" w:type="pct"/>
            <w:vAlign w:val="center"/>
          </w:tcPr>
          <w:p>
            <w:pPr>
              <w:autoSpaceDE w:val="0"/>
              <w:autoSpaceDN w:val="0"/>
              <w:adjustRightInd w:val="0"/>
              <w:jc w:val="center"/>
              <w:rPr>
                <w:rFonts w:eastAsia="仿宋_GB2312"/>
                <w:snapToGrid w:val="0"/>
                <w:szCs w:val="21"/>
              </w:rPr>
            </w:pPr>
            <w:r>
              <w:t>6.37</w:t>
            </w:r>
          </w:p>
        </w:tc>
        <w:tc>
          <w:tcPr>
            <w:tcW w:w="627" w:type="pct"/>
            <w:vAlign w:val="center"/>
          </w:tcPr>
          <w:p>
            <w:pPr>
              <w:autoSpaceDE w:val="0"/>
              <w:autoSpaceDN w:val="0"/>
              <w:adjustRightInd w:val="0"/>
              <w:jc w:val="center"/>
              <w:rPr>
                <w:rFonts w:eastAsia="仿宋_GB2312"/>
                <w:snapToGrid w:val="0"/>
                <w:szCs w:val="21"/>
              </w:rPr>
            </w:pPr>
            <w:r>
              <w:t>6.37</w:t>
            </w:r>
          </w:p>
        </w:tc>
        <w:tc>
          <w:tcPr>
            <w:tcW w:w="705" w:type="pct"/>
            <w:vAlign w:val="center"/>
          </w:tcPr>
          <w:p>
            <w:pPr>
              <w:autoSpaceDE w:val="0"/>
              <w:autoSpaceDN w:val="0"/>
              <w:adjustRightInd w:val="0"/>
              <w:jc w:val="center"/>
              <w:rPr>
                <w:rFonts w:eastAsia="仿宋_GB2312"/>
                <w:snapToGrid w:val="0"/>
                <w:szCs w:val="21"/>
              </w:rPr>
            </w:pPr>
            <w:r>
              <w:rPr>
                <w:rFonts w:eastAsia="仿宋_GB2312"/>
                <w:snapToGrid w:val="0"/>
                <w:szCs w:val="21"/>
              </w:rPr>
              <w:t>/</w:t>
            </w:r>
          </w:p>
        </w:tc>
        <w:tc>
          <w:tcPr>
            <w:tcW w:w="1794" w:type="pct"/>
            <w:vAlign w:val="center"/>
          </w:tcPr>
          <w:p>
            <w:pPr>
              <w:autoSpaceDE w:val="0"/>
              <w:autoSpaceDN w:val="0"/>
              <w:adjustRightInd w:val="0"/>
              <w:jc w:val="center"/>
              <w:rPr>
                <w:rFonts w:eastAsia="仿宋_GB2312"/>
                <w:snapToGrid w:val="0"/>
                <w:szCs w:val="21"/>
              </w:rPr>
            </w:pPr>
            <w:r>
              <w:rPr>
                <w:rFonts w:hint="eastAsia" w:eastAsia="仿宋_GB2312"/>
                <w:snapToGrid w:val="0"/>
                <w:szCs w:val="21"/>
              </w:rPr>
              <w:t>/</w:t>
            </w:r>
          </w:p>
        </w:tc>
      </w:tr>
      <w:bookmarkEnd w:id="22"/>
      <w:bookmarkEnd w:id="23"/>
    </w:tbl>
    <w:p>
      <w:pPr>
        <w:pStyle w:val="4"/>
        <w:keepLines/>
        <w:topLinePunct/>
        <w:adjustRightInd w:val="0"/>
        <w:snapToGrid w:val="0"/>
        <w:spacing w:line="360" w:lineRule="auto"/>
        <w:rPr>
          <w:bCs w:val="0"/>
          <w:sz w:val="24"/>
          <w:szCs w:val="24"/>
        </w:rPr>
      </w:pPr>
      <w:r>
        <w:rPr>
          <w:bCs w:val="0"/>
          <w:sz w:val="24"/>
          <w:szCs w:val="24"/>
        </w:rPr>
        <w:t>3.1.2 背景值监测</w:t>
      </w:r>
    </w:p>
    <w:p>
      <w:pPr>
        <w:autoSpaceDE w:val="0"/>
        <w:autoSpaceDN w:val="0"/>
        <w:adjustRightInd w:val="0"/>
        <w:spacing w:line="360" w:lineRule="auto"/>
        <w:ind w:firstLine="480" w:firstLineChars="200"/>
        <w:rPr>
          <w:rFonts w:eastAsia="仿宋_GB2312"/>
          <w:snapToGrid w:val="0"/>
          <w:sz w:val="24"/>
        </w:rPr>
      </w:pPr>
      <w:r>
        <w:rPr>
          <w:rFonts w:eastAsia="仿宋_GB2312"/>
          <w:snapToGrid w:val="0"/>
          <w:sz w:val="24"/>
        </w:rPr>
        <w:t>监测指标：行政区划位置、地貌类型、气候类型、多年平均降水量、多年平均气温、主要河流水系、植被类型、植物种类组成、林草覆盖率、土壤类型、土地利用现状、水土流失类型、水土流失强度分级及面积、平均土壤侵蚀模数、容许土壤侵蚀模数、水土保持设施类型及数量。</w:t>
      </w:r>
    </w:p>
    <w:p>
      <w:pPr>
        <w:autoSpaceDE w:val="0"/>
        <w:autoSpaceDN w:val="0"/>
        <w:adjustRightInd w:val="0"/>
        <w:spacing w:line="360" w:lineRule="auto"/>
        <w:ind w:firstLine="480" w:firstLineChars="200"/>
        <w:rPr>
          <w:rFonts w:eastAsia="仿宋_GB2312"/>
          <w:snapToGrid w:val="0"/>
          <w:sz w:val="24"/>
        </w:rPr>
      </w:pPr>
      <w:r>
        <w:rPr>
          <w:rFonts w:eastAsia="仿宋_GB2312"/>
          <w:snapToGrid w:val="0"/>
          <w:sz w:val="24"/>
        </w:rPr>
        <w:t>监测方法：项目区水土流失背景值监测指标需通过收集项目区原地貌状态下土壤、植被、气象、水土流失等的资料、并结合项目区原地形图判读获取。</w:t>
      </w:r>
    </w:p>
    <w:p>
      <w:pPr>
        <w:autoSpaceDE w:val="0"/>
        <w:autoSpaceDN w:val="0"/>
        <w:adjustRightInd w:val="0"/>
        <w:spacing w:line="360" w:lineRule="auto"/>
        <w:ind w:firstLine="480" w:firstLineChars="200"/>
        <w:rPr>
          <w:rFonts w:eastAsia="仿宋_GB2312"/>
          <w:snapToGrid w:val="0"/>
          <w:sz w:val="24"/>
        </w:rPr>
      </w:pPr>
      <w:r>
        <w:rPr>
          <w:rFonts w:eastAsia="仿宋_GB2312"/>
          <w:snapToGrid w:val="0"/>
          <w:sz w:val="24"/>
        </w:rPr>
        <w:t>项目已进入</w:t>
      </w:r>
      <w:r>
        <w:rPr>
          <w:rFonts w:hint="eastAsia" w:eastAsia="仿宋_GB2312"/>
          <w:snapToGrid w:val="0"/>
          <w:sz w:val="24"/>
        </w:rPr>
        <w:t>竣工验收阶段</w:t>
      </w:r>
      <w:r>
        <w:rPr>
          <w:rFonts w:eastAsia="仿宋_GB2312"/>
          <w:snapToGrid w:val="0"/>
          <w:sz w:val="24"/>
        </w:rPr>
        <w:t>，背景值通过数据收集进行监测。</w:t>
      </w:r>
    </w:p>
    <w:p>
      <w:pPr>
        <w:pStyle w:val="4"/>
        <w:keepLines/>
        <w:tabs>
          <w:tab w:val="left" w:pos="4800"/>
        </w:tabs>
        <w:topLinePunct/>
        <w:adjustRightInd w:val="0"/>
        <w:snapToGrid w:val="0"/>
        <w:spacing w:line="360" w:lineRule="auto"/>
        <w:rPr>
          <w:bCs w:val="0"/>
          <w:sz w:val="24"/>
          <w:szCs w:val="24"/>
        </w:rPr>
      </w:pPr>
      <w:r>
        <w:rPr>
          <w:bCs w:val="0"/>
          <w:sz w:val="24"/>
          <w:szCs w:val="24"/>
        </w:rPr>
        <w:t xml:space="preserve">3.1.3 </w:t>
      </w:r>
      <w:r>
        <w:rPr>
          <w:bCs w:val="0"/>
          <w:sz w:val="24"/>
          <w:szCs w:val="24"/>
          <w:lang w:eastAsia="zh-CN"/>
        </w:rPr>
        <w:t>建设期扰动土地面积</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项目建设期扰动土地的水土保持监测是指对本项目在建设活动中形成的各种挖损、占压、堆弃用地，均以垂直投影面积计算，具体的扰动面积监测包括两方面的内容：即扰动土地类型监测和面积监测，其中重点是对扰动土地类型进行监测。</w:t>
      </w:r>
    </w:p>
    <w:p>
      <w:pPr>
        <w:autoSpaceDE w:val="0"/>
        <w:autoSpaceDN w:val="0"/>
        <w:adjustRightInd w:val="0"/>
        <w:spacing w:line="360" w:lineRule="auto"/>
        <w:ind w:firstLine="480" w:firstLineChars="200"/>
        <w:rPr>
          <w:rFonts w:eastAsia="仿宋_GB2312"/>
          <w:bCs/>
          <w:kern w:val="0"/>
          <w:sz w:val="24"/>
        </w:rPr>
      </w:pPr>
      <w:r>
        <w:rPr>
          <w:rFonts w:eastAsia="仿宋_GB2312"/>
          <w:kern w:val="0"/>
          <w:sz w:val="24"/>
        </w:rPr>
        <w:t>实际监测中通过GPS、红外测距仪、测绳等测量工具对施工建设区域扰动地表面积分区域进行实地测量，截止2023年4月，</w:t>
      </w:r>
      <w:r>
        <w:rPr>
          <w:rFonts w:hint="eastAsia" w:eastAsia="仿宋_GB2312"/>
          <w:kern w:val="0"/>
          <w:sz w:val="24"/>
        </w:rPr>
        <w:t>除去已移交道路工程的临建设施占地，</w:t>
      </w:r>
      <w:r>
        <w:rPr>
          <w:rFonts w:eastAsia="仿宋_GB2312"/>
          <w:kern w:val="0"/>
          <w:sz w:val="24"/>
        </w:rPr>
        <w:t>建设期扰动地表面积6.37hm</w:t>
      </w:r>
      <w:r>
        <w:rPr>
          <w:rFonts w:eastAsia="仿宋_GB2312"/>
          <w:kern w:val="0"/>
          <w:sz w:val="24"/>
          <w:vertAlign w:val="superscript"/>
        </w:rPr>
        <w:t>2</w:t>
      </w:r>
      <w:r>
        <w:rPr>
          <w:rFonts w:eastAsia="仿宋_GB2312"/>
          <w:kern w:val="0"/>
          <w:sz w:val="24"/>
        </w:rPr>
        <w:t>。</w:t>
      </w:r>
    </w:p>
    <w:p>
      <w:pPr>
        <w:pStyle w:val="3"/>
        <w:adjustRightInd w:val="0"/>
        <w:spacing w:before="0" w:after="0" w:line="360" w:lineRule="auto"/>
        <w:rPr>
          <w:rFonts w:ascii="Times New Roman" w:hAnsi="Times New Roman" w:eastAsia="仿宋_GB2312"/>
          <w:bCs w:val="0"/>
          <w:sz w:val="28"/>
          <w:szCs w:val="28"/>
        </w:rPr>
      </w:pPr>
      <w:bookmarkStart w:id="24" w:name="_Toc134801919"/>
      <w:r>
        <w:rPr>
          <w:rFonts w:ascii="Times New Roman" w:hAnsi="Times New Roman" w:eastAsia="仿宋_GB2312"/>
          <w:bCs w:val="0"/>
          <w:sz w:val="28"/>
          <w:szCs w:val="28"/>
        </w:rPr>
        <w:t xml:space="preserve">3.2 </w:t>
      </w:r>
      <w:r>
        <w:rPr>
          <w:rFonts w:ascii="Times New Roman" w:hAnsi="Times New Roman" w:eastAsia="仿宋_GB2312"/>
          <w:bCs w:val="0"/>
          <w:sz w:val="28"/>
          <w:szCs w:val="28"/>
          <w:lang w:eastAsia="zh-CN"/>
        </w:rPr>
        <w:t>取料监测结果</w:t>
      </w:r>
      <w:bookmarkEnd w:id="24"/>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本工程不涉及取土场，因此不对取料进行监测。</w:t>
      </w:r>
    </w:p>
    <w:p>
      <w:pPr>
        <w:pStyle w:val="3"/>
        <w:adjustRightInd w:val="0"/>
        <w:spacing w:before="0" w:after="0" w:line="360" w:lineRule="auto"/>
        <w:rPr>
          <w:rFonts w:ascii="Times New Roman" w:hAnsi="Times New Roman" w:eastAsia="仿宋_GB2312"/>
          <w:bCs w:val="0"/>
          <w:sz w:val="28"/>
          <w:szCs w:val="28"/>
        </w:rPr>
      </w:pPr>
      <w:bookmarkStart w:id="25" w:name="_Toc134801920"/>
      <w:r>
        <w:rPr>
          <w:rFonts w:ascii="Times New Roman" w:hAnsi="Times New Roman" w:eastAsia="仿宋_GB2312"/>
          <w:bCs w:val="0"/>
          <w:sz w:val="28"/>
          <w:szCs w:val="28"/>
        </w:rPr>
        <w:t xml:space="preserve">3.3 </w:t>
      </w:r>
      <w:r>
        <w:rPr>
          <w:rFonts w:ascii="Times New Roman" w:hAnsi="Times New Roman" w:eastAsia="仿宋_GB2312"/>
          <w:bCs w:val="0"/>
          <w:sz w:val="28"/>
          <w:szCs w:val="28"/>
          <w:lang w:eastAsia="zh-CN"/>
        </w:rPr>
        <w:t>弃渣监测结果</w:t>
      </w:r>
      <w:bookmarkEnd w:id="25"/>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本项目土石方工程已完成，挖方</w:t>
      </w:r>
      <w:r>
        <w:rPr>
          <w:rFonts w:hint="eastAsia" w:eastAsia="仿宋_GB2312"/>
          <w:kern w:val="0"/>
          <w:sz w:val="24"/>
        </w:rPr>
        <w:t>约</w:t>
      </w:r>
      <w:r>
        <w:rPr>
          <w:rFonts w:eastAsia="仿宋_GB2312"/>
          <w:kern w:val="0"/>
          <w:sz w:val="24"/>
        </w:rPr>
        <w:t>45万m</w:t>
      </w:r>
      <w:r>
        <w:rPr>
          <w:rFonts w:eastAsia="仿宋_GB2312"/>
          <w:kern w:val="0"/>
          <w:sz w:val="24"/>
          <w:vertAlign w:val="superscript"/>
        </w:rPr>
        <w:t>3</w:t>
      </w:r>
      <w:r>
        <w:rPr>
          <w:rFonts w:eastAsia="仿宋_GB2312"/>
          <w:kern w:val="0"/>
          <w:sz w:val="24"/>
        </w:rPr>
        <w:t>，</w:t>
      </w:r>
      <w:r>
        <w:rPr>
          <w:rFonts w:hint="eastAsia" w:eastAsia="仿宋_GB2312"/>
          <w:kern w:val="0"/>
          <w:sz w:val="24"/>
        </w:rPr>
        <w:t>填方约0</w:t>
      </w:r>
      <w:r>
        <w:rPr>
          <w:rFonts w:eastAsia="仿宋_GB2312"/>
          <w:kern w:val="0"/>
          <w:sz w:val="24"/>
        </w:rPr>
        <w:t>.20万m</w:t>
      </w:r>
      <w:r>
        <w:rPr>
          <w:rFonts w:eastAsia="仿宋_GB2312"/>
          <w:kern w:val="0"/>
          <w:sz w:val="24"/>
          <w:vertAlign w:val="superscript"/>
        </w:rPr>
        <w:t>3</w:t>
      </w:r>
      <w:r>
        <w:rPr>
          <w:rFonts w:eastAsia="仿宋_GB2312"/>
          <w:kern w:val="0"/>
          <w:sz w:val="24"/>
        </w:rPr>
        <w:t>，弃方</w:t>
      </w:r>
      <w:r>
        <w:rPr>
          <w:rFonts w:hint="eastAsia" w:eastAsia="仿宋_GB2312"/>
          <w:kern w:val="0"/>
          <w:sz w:val="24"/>
        </w:rPr>
        <w:t>约</w:t>
      </w:r>
      <w:r>
        <w:rPr>
          <w:rFonts w:eastAsia="仿宋_GB2312"/>
          <w:kern w:val="0"/>
          <w:sz w:val="24"/>
        </w:rPr>
        <w:t>44.80万m</w:t>
      </w:r>
      <w:r>
        <w:rPr>
          <w:rFonts w:eastAsia="仿宋_GB2312"/>
          <w:kern w:val="0"/>
          <w:sz w:val="24"/>
          <w:vertAlign w:val="superscript"/>
        </w:rPr>
        <w:t>3</w:t>
      </w:r>
      <w:r>
        <w:rPr>
          <w:rFonts w:eastAsia="仿宋_GB2312"/>
          <w:kern w:val="0"/>
          <w:sz w:val="24"/>
        </w:rPr>
        <w:t>，</w:t>
      </w:r>
      <w:r>
        <w:rPr>
          <w:rFonts w:eastAsia="仿宋_GB2312"/>
          <w:sz w:val="24"/>
          <w:szCs w:val="28"/>
        </w:rPr>
        <w:t>弃方全部运往经开区峡口镇土石方消纳场</w:t>
      </w:r>
      <w:r>
        <w:rPr>
          <w:rFonts w:eastAsia="仿宋_GB2312"/>
          <w:sz w:val="24"/>
        </w:rPr>
        <w:t>处置，本项目不自设弃渣场</w:t>
      </w:r>
      <w:r>
        <w:rPr>
          <w:rFonts w:eastAsia="仿宋_GB2312"/>
          <w:kern w:val="0"/>
          <w:sz w:val="24"/>
        </w:rPr>
        <w:t>，不对弃渣进行监测。</w:t>
      </w:r>
    </w:p>
    <w:p>
      <w:pPr>
        <w:pStyle w:val="3"/>
        <w:adjustRightInd w:val="0"/>
        <w:spacing w:before="0" w:after="0" w:line="360" w:lineRule="auto"/>
        <w:rPr>
          <w:rFonts w:ascii="Times New Roman" w:hAnsi="Times New Roman" w:eastAsia="仿宋_GB2312"/>
          <w:bCs w:val="0"/>
          <w:sz w:val="28"/>
          <w:szCs w:val="28"/>
        </w:rPr>
      </w:pPr>
      <w:bookmarkStart w:id="26" w:name="_Toc134801921"/>
      <w:r>
        <w:rPr>
          <w:rFonts w:ascii="Times New Roman" w:hAnsi="Times New Roman" w:eastAsia="仿宋_GB2312"/>
          <w:bCs w:val="0"/>
          <w:sz w:val="28"/>
          <w:szCs w:val="28"/>
        </w:rPr>
        <w:t>3.4 土石方流向情况监测结果</w:t>
      </w:r>
      <w:bookmarkEnd w:id="26"/>
    </w:p>
    <w:p>
      <w:pPr>
        <w:pStyle w:val="63"/>
        <w:numPr>
          <w:ilvl w:val="0"/>
          <w:numId w:val="8"/>
        </w:numPr>
        <w:autoSpaceDE w:val="0"/>
        <w:autoSpaceDN w:val="0"/>
        <w:adjustRightInd w:val="0"/>
        <w:spacing w:line="360" w:lineRule="auto"/>
        <w:ind w:firstLineChars="0"/>
        <w:rPr>
          <w:kern w:val="0"/>
        </w:rPr>
      </w:pPr>
      <w:r>
        <w:rPr>
          <w:kern w:val="0"/>
        </w:rPr>
        <w:t>水土保持方案中土石方情况</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根据业主提供的资料，本工程土石方工程主要</w:t>
      </w:r>
      <w:r>
        <w:rPr>
          <w:rFonts w:hint="eastAsia" w:eastAsia="仿宋_GB2312"/>
          <w:kern w:val="0"/>
          <w:sz w:val="24"/>
        </w:rPr>
        <w:t>包括</w:t>
      </w:r>
      <w:r>
        <w:rPr>
          <w:rFonts w:eastAsia="仿宋_GB2312"/>
          <w:sz w:val="24"/>
        </w:rPr>
        <w:t>场平、建构筑物基础开挖、地下车库开挖、综合管网管沟开挖与回填等</w:t>
      </w:r>
      <w:r>
        <w:rPr>
          <w:rFonts w:eastAsia="仿宋_GB2312"/>
          <w:kern w:val="0"/>
          <w:sz w:val="24"/>
        </w:rPr>
        <w:t>。</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根据</w:t>
      </w:r>
      <w:r>
        <w:rPr>
          <w:rFonts w:hint="eastAsia" w:eastAsia="仿宋_GB2312"/>
          <w:kern w:val="0"/>
          <w:sz w:val="24"/>
        </w:rPr>
        <w:t>水土保持方案中</w:t>
      </w:r>
      <w:r>
        <w:rPr>
          <w:rFonts w:eastAsia="仿宋_GB2312"/>
          <w:kern w:val="0"/>
          <w:sz w:val="24"/>
        </w:rPr>
        <w:t>土石方平衡计算分析，</w:t>
      </w:r>
      <w:r>
        <w:rPr>
          <w:rFonts w:eastAsia="仿宋_GB2312"/>
          <w:sz w:val="24"/>
        </w:rPr>
        <w:t>本项目挖方总量</w:t>
      </w:r>
      <w:r>
        <w:rPr>
          <w:rFonts w:eastAsia="仿宋_GB2312"/>
          <w:kern w:val="0"/>
          <w:sz w:val="24"/>
        </w:rPr>
        <w:t>39.36万m</w:t>
      </w:r>
      <w:r>
        <w:rPr>
          <w:rFonts w:eastAsia="仿宋_GB2312"/>
          <w:kern w:val="0"/>
          <w:sz w:val="24"/>
          <w:vertAlign w:val="superscript"/>
        </w:rPr>
        <w:t>3</w:t>
      </w:r>
      <w:r>
        <w:rPr>
          <w:rFonts w:eastAsia="仿宋_GB2312"/>
          <w:kern w:val="0"/>
          <w:sz w:val="24"/>
        </w:rPr>
        <w:t>，填方总量5.17万m</w:t>
      </w:r>
      <w:r>
        <w:rPr>
          <w:rFonts w:eastAsia="仿宋_GB2312"/>
          <w:kern w:val="0"/>
          <w:sz w:val="24"/>
          <w:vertAlign w:val="superscript"/>
        </w:rPr>
        <w:t>3</w:t>
      </w:r>
      <w:r>
        <w:rPr>
          <w:rFonts w:eastAsia="仿宋_GB2312"/>
          <w:kern w:val="0"/>
          <w:sz w:val="24"/>
        </w:rPr>
        <w:t>，弃方34.19万m</w:t>
      </w:r>
      <w:r>
        <w:rPr>
          <w:rFonts w:eastAsia="仿宋_GB2312"/>
          <w:kern w:val="0"/>
          <w:sz w:val="24"/>
          <w:vertAlign w:val="superscript"/>
        </w:rPr>
        <w:t>3</w:t>
      </w:r>
      <w:r>
        <w:rPr>
          <w:rFonts w:eastAsia="仿宋_GB2312"/>
          <w:kern w:val="0"/>
          <w:sz w:val="24"/>
        </w:rPr>
        <w:t>，</w:t>
      </w:r>
      <w:r>
        <w:rPr>
          <w:rFonts w:eastAsia="仿宋_GB2312"/>
          <w:sz w:val="24"/>
          <w:szCs w:val="28"/>
        </w:rPr>
        <w:t>弃方全部运往经开区峡口镇土石方消纳场</w:t>
      </w:r>
      <w:r>
        <w:rPr>
          <w:rFonts w:eastAsia="仿宋_GB2312"/>
          <w:sz w:val="24"/>
        </w:rPr>
        <w:t>处置</w:t>
      </w:r>
      <w:r>
        <w:rPr>
          <w:rFonts w:eastAsia="仿宋"/>
          <w:kern w:val="0"/>
          <w:sz w:val="24"/>
        </w:rPr>
        <w:t>。</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本工程</w:t>
      </w:r>
      <w:r>
        <w:rPr>
          <w:rFonts w:hint="eastAsia" w:eastAsia="仿宋_GB2312"/>
          <w:kern w:val="0"/>
          <w:sz w:val="24"/>
        </w:rPr>
        <w:t>水土保持方案</w:t>
      </w:r>
      <w:r>
        <w:rPr>
          <w:rFonts w:eastAsia="仿宋_GB2312"/>
          <w:kern w:val="0"/>
          <w:sz w:val="24"/>
        </w:rPr>
        <w:t>土石</w:t>
      </w:r>
      <w:r>
        <w:rPr>
          <w:rFonts w:hint="eastAsia" w:eastAsia="仿宋_GB2312"/>
          <w:kern w:val="0"/>
          <w:sz w:val="24"/>
        </w:rPr>
        <w:t>方</w:t>
      </w:r>
      <w:r>
        <w:rPr>
          <w:rFonts w:eastAsia="仿宋_GB2312"/>
          <w:kern w:val="0"/>
          <w:sz w:val="24"/>
        </w:rPr>
        <w:t>平衡具体情况见表3-2。</w:t>
      </w:r>
    </w:p>
    <w:p>
      <w:pPr>
        <w:adjustRightInd w:val="0"/>
        <w:snapToGrid w:val="0"/>
        <w:spacing w:line="360" w:lineRule="auto"/>
        <w:jc w:val="right"/>
        <w:rPr>
          <w:rFonts w:eastAsia="仿宋_GB2312"/>
          <w:b/>
          <w:sz w:val="24"/>
        </w:rPr>
      </w:pPr>
      <w:r>
        <w:rPr>
          <w:rFonts w:eastAsia="仿宋_GB2312"/>
          <w:b/>
          <w:sz w:val="24"/>
        </w:rPr>
        <w:t>表3-2土石方平衡表                   单位：万m</w:t>
      </w:r>
      <w:r>
        <w:rPr>
          <w:rFonts w:eastAsia="仿宋_GB2312"/>
          <w:b/>
          <w:sz w:val="24"/>
          <w:vertAlign w:val="superscript"/>
        </w:rPr>
        <w:t>3</w:t>
      </w:r>
    </w:p>
    <w:tbl>
      <w:tblPr>
        <w:tblStyle w:val="24"/>
        <w:tblW w:w="5000" w:type="pct"/>
        <w:tblInd w:w="0" w:type="dxa"/>
        <w:tblLayout w:type="autofit"/>
        <w:tblCellMar>
          <w:top w:w="0" w:type="dxa"/>
          <w:left w:w="0" w:type="dxa"/>
          <w:bottom w:w="0" w:type="dxa"/>
          <w:right w:w="0" w:type="dxa"/>
        </w:tblCellMar>
      </w:tblPr>
      <w:tblGrid>
        <w:gridCol w:w="555"/>
        <w:gridCol w:w="1285"/>
        <w:gridCol w:w="857"/>
        <w:gridCol w:w="712"/>
        <w:gridCol w:w="714"/>
        <w:gridCol w:w="999"/>
        <w:gridCol w:w="714"/>
        <w:gridCol w:w="999"/>
        <w:gridCol w:w="857"/>
        <w:gridCol w:w="1408"/>
      </w:tblGrid>
      <w:tr>
        <w:tblPrEx>
          <w:tblCellMar>
            <w:top w:w="0" w:type="dxa"/>
            <w:left w:w="0" w:type="dxa"/>
            <w:bottom w:w="0" w:type="dxa"/>
            <w:right w:w="0" w:type="dxa"/>
          </w:tblCellMar>
        </w:tblPrEx>
        <w:tc>
          <w:tcPr>
            <w:tcW w:w="305" w:type="pct"/>
            <w:vMerge w:val="restart"/>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序号</w:t>
            </w:r>
          </w:p>
        </w:tc>
        <w:tc>
          <w:tcPr>
            <w:tcW w:w="706" w:type="pct"/>
            <w:vMerge w:val="restart"/>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分区</w:t>
            </w:r>
          </w:p>
        </w:tc>
        <w:tc>
          <w:tcPr>
            <w:tcW w:w="471" w:type="pct"/>
            <w:vMerge w:val="restart"/>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开挖</w:t>
            </w:r>
          </w:p>
        </w:tc>
        <w:tc>
          <w:tcPr>
            <w:tcW w:w="391" w:type="pct"/>
            <w:vMerge w:val="restart"/>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回填</w:t>
            </w:r>
          </w:p>
        </w:tc>
        <w:tc>
          <w:tcPr>
            <w:tcW w:w="941" w:type="pct"/>
            <w:gridSpan w:val="2"/>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调入</w:t>
            </w:r>
          </w:p>
        </w:tc>
        <w:tc>
          <w:tcPr>
            <w:tcW w:w="941" w:type="pct"/>
            <w:gridSpan w:val="2"/>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调出</w:t>
            </w:r>
          </w:p>
        </w:tc>
        <w:tc>
          <w:tcPr>
            <w:tcW w:w="471" w:type="pct"/>
            <w:vMerge w:val="restart"/>
            <w:tcBorders>
              <w:top w:val="single" w:color="auto" w:sz="12" w:space="0"/>
              <w:left w:val="single" w:color="auto" w:sz="4" w:space="0"/>
              <w:bottom w:val="nil"/>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弃方</w:t>
            </w:r>
          </w:p>
        </w:tc>
        <w:tc>
          <w:tcPr>
            <w:tcW w:w="773" w:type="pct"/>
            <w:vMerge w:val="restart"/>
            <w:tcBorders>
              <w:top w:val="single" w:color="auto" w:sz="12" w:space="0"/>
              <w:left w:val="single" w:color="auto" w:sz="4" w:space="0"/>
              <w:right w:val="single" w:color="auto" w:sz="12" w:space="0"/>
            </w:tcBorders>
            <w:tcMar>
              <w:top w:w="15" w:type="dxa"/>
              <w:left w:w="15" w:type="dxa"/>
              <w:bottom w:w="0" w:type="dxa"/>
              <w:right w:w="15" w:type="dxa"/>
            </w:tcMar>
            <w:vAlign w:val="center"/>
          </w:tcPr>
          <w:p>
            <w:pPr>
              <w:pStyle w:val="62"/>
              <w:snapToGrid/>
              <w:rPr>
                <w:b/>
                <w:bCs/>
                <w:color w:val="auto"/>
                <w:sz w:val="21"/>
              </w:rPr>
            </w:pPr>
            <w:r>
              <w:rPr>
                <w:b/>
                <w:bCs/>
                <w:color w:val="auto"/>
                <w:sz w:val="21"/>
              </w:rPr>
              <w:t>弃方去向</w:t>
            </w:r>
          </w:p>
        </w:tc>
      </w:tr>
      <w:tr>
        <w:tblPrEx>
          <w:tblCellMar>
            <w:top w:w="0" w:type="dxa"/>
            <w:left w:w="0" w:type="dxa"/>
            <w:bottom w:w="0" w:type="dxa"/>
            <w:right w:w="0" w:type="dxa"/>
          </w:tblCellMar>
        </w:tblPrEx>
        <w:tc>
          <w:tcPr>
            <w:tcW w:w="305" w:type="pct"/>
            <w:vMerge w:val="continue"/>
            <w:tcBorders>
              <w:top w:val="single" w:color="auto" w:sz="4" w:space="0"/>
              <w:left w:val="single" w:color="auto" w:sz="12" w:space="0"/>
              <w:bottom w:val="single" w:color="auto" w:sz="4" w:space="0"/>
              <w:right w:val="single" w:color="auto" w:sz="4" w:space="0"/>
            </w:tcBorders>
            <w:vAlign w:val="center"/>
          </w:tcPr>
          <w:p>
            <w:pPr>
              <w:pStyle w:val="62"/>
              <w:snapToGrid/>
              <w:rPr>
                <w:color w:val="auto"/>
                <w:sz w:val="21"/>
              </w:rPr>
            </w:pPr>
          </w:p>
        </w:tc>
        <w:tc>
          <w:tcPr>
            <w:tcW w:w="706" w:type="pct"/>
            <w:vMerge w:val="continue"/>
            <w:tcBorders>
              <w:top w:val="single" w:color="auto" w:sz="4" w:space="0"/>
              <w:left w:val="single" w:color="auto" w:sz="4" w:space="0"/>
              <w:bottom w:val="single" w:color="auto" w:sz="4" w:space="0"/>
              <w:right w:val="single" w:color="auto" w:sz="4" w:space="0"/>
            </w:tcBorders>
            <w:vAlign w:val="center"/>
          </w:tcPr>
          <w:p>
            <w:pPr>
              <w:pStyle w:val="62"/>
              <w:snapToGrid/>
              <w:rPr>
                <w:color w:val="auto"/>
                <w:sz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pStyle w:val="62"/>
              <w:snapToGrid/>
              <w:rPr>
                <w:color w:val="auto"/>
                <w:sz w:val="21"/>
              </w:rPr>
            </w:pPr>
          </w:p>
        </w:tc>
        <w:tc>
          <w:tcPr>
            <w:tcW w:w="391" w:type="pct"/>
            <w:vMerge w:val="continue"/>
            <w:tcBorders>
              <w:top w:val="single" w:color="auto" w:sz="4" w:space="0"/>
              <w:left w:val="single" w:color="auto" w:sz="4" w:space="0"/>
              <w:bottom w:val="single" w:color="auto" w:sz="4" w:space="0"/>
              <w:right w:val="single" w:color="auto" w:sz="4" w:space="0"/>
            </w:tcBorders>
            <w:vAlign w:val="center"/>
          </w:tcPr>
          <w:p>
            <w:pPr>
              <w:pStyle w:val="62"/>
              <w:snapToGrid/>
              <w:rPr>
                <w:color w:val="auto"/>
                <w:sz w:val="21"/>
              </w:rPr>
            </w:pPr>
          </w:p>
        </w:tc>
        <w:tc>
          <w:tcPr>
            <w:tcW w:w="392"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数量</w:t>
            </w:r>
          </w:p>
        </w:tc>
        <w:tc>
          <w:tcPr>
            <w:tcW w:w="54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土石来源</w:t>
            </w:r>
          </w:p>
        </w:tc>
        <w:tc>
          <w:tcPr>
            <w:tcW w:w="392"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数量</w:t>
            </w:r>
          </w:p>
        </w:tc>
        <w:tc>
          <w:tcPr>
            <w:tcW w:w="54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b/>
                <w:bCs/>
                <w:color w:val="auto"/>
                <w:sz w:val="21"/>
              </w:rPr>
            </w:pPr>
            <w:r>
              <w:rPr>
                <w:b/>
                <w:bCs/>
                <w:color w:val="auto"/>
                <w:sz w:val="21"/>
              </w:rPr>
              <w:t>土石去向</w:t>
            </w:r>
          </w:p>
        </w:tc>
        <w:tc>
          <w:tcPr>
            <w:tcW w:w="471" w:type="pct"/>
            <w:vMerge w:val="continue"/>
            <w:tcBorders>
              <w:left w:val="single" w:color="auto" w:sz="4" w:space="0"/>
              <w:bottom w:val="single" w:color="auto" w:sz="4" w:space="0"/>
              <w:right w:val="single" w:color="auto" w:sz="4" w:space="0"/>
            </w:tcBorders>
            <w:vAlign w:val="center"/>
          </w:tcPr>
          <w:p>
            <w:pPr>
              <w:pStyle w:val="62"/>
              <w:snapToGrid/>
              <w:rPr>
                <w:color w:val="auto"/>
                <w:sz w:val="21"/>
              </w:rPr>
            </w:pPr>
          </w:p>
        </w:tc>
        <w:tc>
          <w:tcPr>
            <w:tcW w:w="773" w:type="pct"/>
            <w:vMerge w:val="continue"/>
            <w:tcBorders>
              <w:left w:val="single" w:color="auto" w:sz="4" w:space="0"/>
              <w:bottom w:val="single" w:color="auto" w:sz="4" w:space="0"/>
              <w:right w:val="single" w:color="auto" w:sz="12" w:space="0"/>
            </w:tcBorders>
            <w:vAlign w:val="center"/>
          </w:tcPr>
          <w:p>
            <w:pPr>
              <w:pStyle w:val="62"/>
              <w:snapToGrid/>
              <w:rPr>
                <w:color w:val="auto"/>
                <w:sz w:val="21"/>
              </w:rPr>
            </w:pPr>
          </w:p>
        </w:tc>
      </w:tr>
      <w:tr>
        <w:tblPrEx>
          <w:tblCellMar>
            <w:top w:w="0" w:type="dxa"/>
            <w:left w:w="0" w:type="dxa"/>
            <w:bottom w:w="0" w:type="dxa"/>
            <w:right w:w="0" w:type="dxa"/>
          </w:tblCellMar>
        </w:tblPrEx>
        <w:tc>
          <w:tcPr>
            <w:tcW w:w="305"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1</w:t>
            </w:r>
          </w:p>
        </w:tc>
        <w:tc>
          <w:tcPr>
            <w:tcW w:w="706"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项目建设区</w:t>
            </w:r>
          </w:p>
        </w:tc>
        <w:tc>
          <w:tcPr>
            <w:tcW w:w="471"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rFonts w:hint="eastAsia"/>
                <w:color w:val="auto"/>
                <w:sz w:val="21"/>
              </w:rPr>
              <w:t>3</w:t>
            </w:r>
            <w:r>
              <w:rPr>
                <w:color w:val="auto"/>
                <w:sz w:val="21"/>
              </w:rPr>
              <w:t>9.36</w:t>
            </w:r>
          </w:p>
        </w:tc>
        <w:tc>
          <w:tcPr>
            <w:tcW w:w="391"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5.17</w:t>
            </w:r>
          </w:p>
        </w:tc>
        <w:tc>
          <w:tcPr>
            <w:tcW w:w="392"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54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392"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54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47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rFonts w:hint="eastAsia"/>
                <w:color w:val="auto"/>
                <w:sz w:val="21"/>
              </w:rPr>
              <w:t>3</w:t>
            </w:r>
            <w:r>
              <w:rPr>
                <w:color w:val="auto"/>
                <w:sz w:val="21"/>
              </w:rPr>
              <w:t>4.19</w:t>
            </w:r>
          </w:p>
        </w:tc>
        <w:tc>
          <w:tcPr>
            <w:tcW w:w="773" w:type="pct"/>
            <w:vMerge w:val="restart"/>
            <w:tcBorders>
              <w:top w:val="single" w:color="auto" w:sz="4" w:space="0"/>
              <w:left w:val="single" w:color="auto" w:sz="4" w:space="0"/>
              <w:bottom w:val="single" w:color="auto" w:sz="4" w:space="0"/>
              <w:right w:val="single" w:color="auto" w:sz="12" w:space="0"/>
            </w:tcBorders>
            <w:vAlign w:val="center"/>
          </w:tcPr>
          <w:p>
            <w:pPr>
              <w:pStyle w:val="62"/>
              <w:snapToGrid/>
              <w:rPr>
                <w:color w:val="auto"/>
                <w:sz w:val="21"/>
              </w:rPr>
            </w:pPr>
            <w:r>
              <w:rPr>
                <w:color w:val="auto"/>
                <w:sz w:val="21"/>
              </w:rPr>
              <w:t>经开区峡口镇</w:t>
            </w:r>
          </w:p>
          <w:p>
            <w:pPr>
              <w:pStyle w:val="62"/>
              <w:snapToGrid/>
              <w:rPr>
                <w:color w:val="auto"/>
                <w:sz w:val="21"/>
              </w:rPr>
            </w:pPr>
            <w:r>
              <w:rPr>
                <w:color w:val="auto"/>
                <w:sz w:val="21"/>
              </w:rPr>
              <w:t>土石方消纳场</w:t>
            </w:r>
          </w:p>
        </w:tc>
      </w:tr>
      <w:tr>
        <w:tblPrEx>
          <w:tblCellMar>
            <w:top w:w="0" w:type="dxa"/>
            <w:left w:w="0" w:type="dxa"/>
            <w:bottom w:w="0" w:type="dxa"/>
            <w:right w:w="0" w:type="dxa"/>
          </w:tblCellMar>
        </w:tblPrEx>
        <w:trPr>
          <w:trHeight w:val="304" w:hRule="atLeast"/>
        </w:trPr>
        <w:tc>
          <w:tcPr>
            <w:tcW w:w="305"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2</w:t>
            </w:r>
          </w:p>
        </w:tc>
        <w:tc>
          <w:tcPr>
            <w:tcW w:w="706"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施工生产生活区</w:t>
            </w:r>
          </w:p>
        </w:tc>
        <w:tc>
          <w:tcPr>
            <w:tcW w:w="471"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0</w:t>
            </w:r>
          </w:p>
        </w:tc>
        <w:tc>
          <w:tcPr>
            <w:tcW w:w="391"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0</w:t>
            </w:r>
          </w:p>
        </w:tc>
        <w:tc>
          <w:tcPr>
            <w:tcW w:w="392"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54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392"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549"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471" w:type="pct"/>
            <w:tcBorders>
              <w:top w:val="nil"/>
              <w:left w:val="nil"/>
              <w:bottom w:val="single" w:color="auto" w:sz="4"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773" w:type="pct"/>
            <w:vMerge w:val="continue"/>
            <w:tcBorders>
              <w:top w:val="nil"/>
              <w:left w:val="single" w:color="auto" w:sz="4" w:space="0"/>
              <w:bottom w:val="single" w:color="auto" w:sz="4" w:space="0"/>
              <w:right w:val="single" w:color="auto" w:sz="12" w:space="0"/>
            </w:tcBorders>
            <w:vAlign w:val="center"/>
          </w:tcPr>
          <w:p>
            <w:pPr>
              <w:pStyle w:val="62"/>
              <w:snapToGrid/>
              <w:rPr>
                <w:color w:val="auto"/>
                <w:sz w:val="21"/>
              </w:rPr>
            </w:pPr>
          </w:p>
        </w:tc>
      </w:tr>
      <w:tr>
        <w:tblPrEx>
          <w:tblCellMar>
            <w:top w:w="0" w:type="dxa"/>
            <w:left w:w="0" w:type="dxa"/>
            <w:bottom w:w="0" w:type="dxa"/>
            <w:right w:w="0" w:type="dxa"/>
          </w:tblCellMar>
        </w:tblPrEx>
        <w:tc>
          <w:tcPr>
            <w:tcW w:w="305" w:type="pct"/>
            <w:tcBorders>
              <w:top w:val="nil"/>
              <w:left w:val="single" w:color="auto" w:sz="12" w:space="0"/>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合计</w:t>
            </w:r>
          </w:p>
        </w:tc>
        <w:tc>
          <w:tcPr>
            <w:tcW w:w="706" w:type="pct"/>
            <w:tcBorders>
              <w:top w:val="nil"/>
              <w:left w:val="nil"/>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rFonts w:hint="eastAsia"/>
                <w:color w:val="auto"/>
                <w:sz w:val="21"/>
              </w:rPr>
              <w:t>/</w:t>
            </w:r>
          </w:p>
        </w:tc>
        <w:tc>
          <w:tcPr>
            <w:tcW w:w="471" w:type="pct"/>
            <w:tcBorders>
              <w:top w:val="nil"/>
              <w:left w:val="nil"/>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39.36</w:t>
            </w:r>
          </w:p>
        </w:tc>
        <w:tc>
          <w:tcPr>
            <w:tcW w:w="391" w:type="pct"/>
            <w:tcBorders>
              <w:top w:val="nil"/>
              <w:left w:val="nil"/>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5.17</w:t>
            </w:r>
          </w:p>
        </w:tc>
        <w:tc>
          <w:tcPr>
            <w:tcW w:w="392" w:type="pct"/>
            <w:tcBorders>
              <w:top w:val="nil"/>
              <w:left w:val="nil"/>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549" w:type="pct"/>
            <w:tcBorders>
              <w:top w:val="nil"/>
              <w:left w:val="nil"/>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392" w:type="pct"/>
            <w:tcBorders>
              <w:top w:val="nil"/>
              <w:left w:val="nil"/>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549" w:type="pct"/>
            <w:tcBorders>
              <w:top w:val="nil"/>
              <w:left w:val="nil"/>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w:t>
            </w:r>
          </w:p>
        </w:tc>
        <w:tc>
          <w:tcPr>
            <w:tcW w:w="471" w:type="pct"/>
            <w:tcBorders>
              <w:top w:val="nil"/>
              <w:left w:val="nil"/>
              <w:bottom w:val="single" w:color="auto" w:sz="12" w:space="0"/>
              <w:right w:val="single" w:color="auto" w:sz="4" w:space="0"/>
            </w:tcBorders>
            <w:tcMar>
              <w:top w:w="15" w:type="dxa"/>
              <w:left w:w="15" w:type="dxa"/>
              <w:bottom w:w="0" w:type="dxa"/>
              <w:right w:w="15" w:type="dxa"/>
            </w:tcMar>
            <w:vAlign w:val="center"/>
          </w:tcPr>
          <w:p>
            <w:pPr>
              <w:pStyle w:val="62"/>
              <w:snapToGrid/>
              <w:rPr>
                <w:color w:val="auto"/>
                <w:sz w:val="21"/>
              </w:rPr>
            </w:pPr>
            <w:r>
              <w:rPr>
                <w:color w:val="auto"/>
                <w:sz w:val="21"/>
              </w:rPr>
              <w:t>34.19</w:t>
            </w:r>
          </w:p>
        </w:tc>
        <w:tc>
          <w:tcPr>
            <w:tcW w:w="773" w:type="pct"/>
            <w:vMerge w:val="continue"/>
            <w:tcBorders>
              <w:top w:val="nil"/>
              <w:left w:val="single" w:color="auto" w:sz="4" w:space="0"/>
              <w:bottom w:val="single" w:color="auto" w:sz="12" w:space="0"/>
              <w:right w:val="single" w:color="auto" w:sz="12" w:space="0"/>
            </w:tcBorders>
            <w:vAlign w:val="center"/>
          </w:tcPr>
          <w:p>
            <w:pPr>
              <w:pStyle w:val="62"/>
              <w:snapToGrid/>
              <w:rPr>
                <w:color w:val="auto"/>
                <w:sz w:val="21"/>
              </w:rPr>
            </w:pPr>
          </w:p>
        </w:tc>
      </w:tr>
    </w:tbl>
    <w:p>
      <w:pPr>
        <w:pStyle w:val="63"/>
        <w:numPr>
          <w:ilvl w:val="0"/>
          <w:numId w:val="8"/>
        </w:numPr>
        <w:autoSpaceDE w:val="0"/>
        <w:autoSpaceDN w:val="0"/>
        <w:adjustRightInd w:val="0"/>
        <w:spacing w:line="360" w:lineRule="auto"/>
        <w:ind w:firstLineChars="0"/>
        <w:rPr>
          <w:kern w:val="0"/>
        </w:rPr>
      </w:pPr>
      <w:r>
        <w:rPr>
          <w:kern w:val="0"/>
        </w:rPr>
        <w:t>监测实际土石方情况</w:t>
      </w:r>
    </w:p>
    <w:p>
      <w:pPr>
        <w:autoSpaceDE w:val="0"/>
        <w:autoSpaceDN w:val="0"/>
        <w:adjustRightInd w:val="0"/>
        <w:spacing w:line="360" w:lineRule="auto"/>
        <w:ind w:firstLine="480" w:firstLineChars="200"/>
        <w:rPr>
          <w:rFonts w:eastAsia="仿宋_GB2312"/>
          <w:color w:val="FF0000"/>
          <w:kern w:val="0"/>
          <w:sz w:val="24"/>
        </w:rPr>
      </w:pPr>
      <w:r>
        <w:rPr>
          <w:rFonts w:eastAsia="仿宋_GB2312"/>
          <w:kern w:val="0"/>
          <w:sz w:val="24"/>
        </w:rPr>
        <w:t>本工程土石方工程已结束。通过咨询</w:t>
      </w:r>
      <w:r>
        <w:rPr>
          <w:rFonts w:hint="eastAsia" w:eastAsia="仿宋_GB2312"/>
          <w:kern w:val="0"/>
          <w:sz w:val="24"/>
        </w:rPr>
        <w:t>建设</w:t>
      </w:r>
      <w:r>
        <w:rPr>
          <w:rFonts w:eastAsia="仿宋_GB2312"/>
          <w:kern w:val="0"/>
          <w:sz w:val="24"/>
        </w:rPr>
        <w:t>单位，</w:t>
      </w:r>
      <w:r>
        <w:rPr>
          <w:rFonts w:hint="eastAsia" w:eastAsia="仿宋_GB2312"/>
          <w:kern w:val="0"/>
          <w:sz w:val="24"/>
        </w:rPr>
        <w:t>本项目</w:t>
      </w:r>
      <w:r>
        <w:rPr>
          <w:rFonts w:eastAsia="仿宋_GB2312"/>
          <w:kern w:val="0"/>
          <w:sz w:val="24"/>
        </w:rPr>
        <w:t>挖方</w:t>
      </w:r>
      <w:r>
        <w:rPr>
          <w:rFonts w:hint="eastAsia" w:eastAsia="仿宋_GB2312"/>
          <w:kern w:val="0"/>
          <w:sz w:val="24"/>
        </w:rPr>
        <w:t>约</w:t>
      </w:r>
      <w:r>
        <w:rPr>
          <w:rFonts w:eastAsia="仿宋_GB2312"/>
          <w:kern w:val="0"/>
          <w:sz w:val="24"/>
        </w:rPr>
        <w:t>45万m</w:t>
      </w:r>
      <w:r>
        <w:rPr>
          <w:rFonts w:eastAsia="仿宋_GB2312"/>
          <w:kern w:val="0"/>
          <w:sz w:val="24"/>
          <w:vertAlign w:val="superscript"/>
        </w:rPr>
        <w:t>3</w:t>
      </w:r>
      <w:r>
        <w:rPr>
          <w:rFonts w:eastAsia="仿宋_GB2312"/>
          <w:kern w:val="0"/>
          <w:sz w:val="24"/>
        </w:rPr>
        <w:t>，</w:t>
      </w:r>
      <w:r>
        <w:rPr>
          <w:rFonts w:hint="eastAsia" w:eastAsia="仿宋_GB2312"/>
          <w:kern w:val="0"/>
          <w:sz w:val="24"/>
        </w:rPr>
        <w:t>填方约0</w:t>
      </w:r>
      <w:r>
        <w:rPr>
          <w:rFonts w:eastAsia="仿宋_GB2312"/>
          <w:kern w:val="0"/>
          <w:sz w:val="24"/>
        </w:rPr>
        <w:t>.20m</w:t>
      </w:r>
      <w:r>
        <w:rPr>
          <w:rFonts w:eastAsia="仿宋_GB2312"/>
          <w:kern w:val="0"/>
          <w:sz w:val="24"/>
          <w:vertAlign w:val="superscript"/>
        </w:rPr>
        <w:t>3</w:t>
      </w:r>
      <w:r>
        <w:rPr>
          <w:rFonts w:eastAsia="仿宋_GB2312"/>
          <w:kern w:val="0"/>
          <w:sz w:val="24"/>
        </w:rPr>
        <w:t>，弃方44.80万m</w:t>
      </w:r>
      <w:r>
        <w:rPr>
          <w:rFonts w:eastAsia="仿宋_GB2312"/>
          <w:kern w:val="0"/>
          <w:sz w:val="24"/>
          <w:vertAlign w:val="superscript"/>
        </w:rPr>
        <w:t>3</w:t>
      </w:r>
      <w:r>
        <w:rPr>
          <w:rFonts w:eastAsia="仿宋_GB2312"/>
          <w:kern w:val="0"/>
          <w:sz w:val="24"/>
        </w:rPr>
        <w:t>，</w:t>
      </w:r>
      <w:r>
        <w:rPr>
          <w:rFonts w:eastAsia="仿宋_GB2312"/>
          <w:sz w:val="24"/>
          <w:szCs w:val="28"/>
        </w:rPr>
        <w:t>弃方全部运往经开区峡口镇土石方消纳场</w:t>
      </w:r>
      <w:r>
        <w:rPr>
          <w:rFonts w:eastAsia="仿宋_GB2312"/>
          <w:sz w:val="24"/>
        </w:rPr>
        <w:t>处置</w:t>
      </w:r>
    </w:p>
    <w:p>
      <w:pPr>
        <w:pStyle w:val="63"/>
        <w:numPr>
          <w:ilvl w:val="0"/>
          <w:numId w:val="8"/>
        </w:numPr>
        <w:autoSpaceDE w:val="0"/>
        <w:autoSpaceDN w:val="0"/>
        <w:adjustRightInd w:val="0"/>
        <w:spacing w:line="360" w:lineRule="auto"/>
        <w:ind w:firstLineChars="0"/>
        <w:rPr>
          <w:kern w:val="0"/>
        </w:rPr>
      </w:pPr>
      <w:r>
        <w:rPr>
          <w:kern w:val="0"/>
        </w:rPr>
        <w:t>与设计相比较土石方变化情况</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本项目土石方</w:t>
      </w:r>
      <w:r>
        <w:rPr>
          <w:rFonts w:hint="eastAsia" w:eastAsia="仿宋_GB2312"/>
          <w:kern w:val="0"/>
          <w:sz w:val="24"/>
        </w:rPr>
        <w:t>挖填总量</w:t>
      </w:r>
      <w:r>
        <w:rPr>
          <w:rFonts w:eastAsia="仿宋_GB2312"/>
          <w:kern w:val="0"/>
          <w:sz w:val="24"/>
        </w:rPr>
        <w:t>与原水土保持方案中</w:t>
      </w:r>
      <w:r>
        <w:rPr>
          <w:rFonts w:hint="eastAsia" w:eastAsia="仿宋_GB2312"/>
          <w:kern w:val="0"/>
          <w:sz w:val="24"/>
        </w:rPr>
        <w:t>增加</w:t>
      </w:r>
      <w:r>
        <w:rPr>
          <w:rFonts w:eastAsia="仿宋_GB2312"/>
          <w:kern w:val="0"/>
          <w:sz w:val="24"/>
        </w:rPr>
        <w:t>0.67</w:t>
      </w:r>
      <w:r>
        <w:rPr>
          <w:rFonts w:hint="eastAsia" w:eastAsia="仿宋_GB2312"/>
          <w:kern w:val="0"/>
          <w:sz w:val="24"/>
        </w:rPr>
        <w:t>万</w:t>
      </w:r>
      <w:r>
        <w:rPr>
          <w:rFonts w:eastAsia="仿宋_GB2312"/>
          <w:kern w:val="0"/>
          <w:sz w:val="24"/>
        </w:rPr>
        <w:t>m</w:t>
      </w:r>
      <w:r>
        <w:rPr>
          <w:rFonts w:eastAsia="仿宋_GB2312"/>
          <w:kern w:val="0"/>
          <w:sz w:val="24"/>
          <w:vertAlign w:val="superscript"/>
        </w:rPr>
        <w:t>3</w:t>
      </w:r>
      <w:r>
        <w:rPr>
          <w:rFonts w:hint="eastAsia" w:eastAsia="仿宋_GB2312"/>
          <w:kern w:val="0"/>
          <w:sz w:val="24"/>
        </w:rPr>
        <w:t>，根据水利部办公厅关于印发《水利部生产建设项目水土保持方案变更管理规定（试行）的通知》</w:t>
      </w:r>
      <w:r>
        <w:rPr>
          <w:rFonts w:eastAsia="仿宋_GB2312"/>
          <w:kern w:val="0"/>
          <w:sz w:val="24"/>
        </w:rPr>
        <w:t>（办水保〔2016〕65号）</w:t>
      </w:r>
      <w:r>
        <w:rPr>
          <w:rFonts w:hint="eastAsia" w:eastAsia="仿宋_GB2312"/>
          <w:kern w:val="0"/>
          <w:sz w:val="24"/>
        </w:rPr>
        <w:t>，本项目开挖填筑土石方变动未超过3</w:t>
      </w:r>
      <w:r>
        <w:rPr>
          <w:rFonts w:eastAsia="仿宋_GB2312"/>
          <w:kern w:val="0"/>
          <w:sz w:val="24"/>
        </w:rPr>
        <w:t>0</w:t>
      </w:r>
      <w:r>
        <w:rPr>
          <w:rFonts w:hint="eastAsia" w:eastAsia="仿宋_GB2312"/>
          <w:kern w:val="0"/>
          <w:sz w:val="24"/>
        </w:rPr>
        <w:t>%，故不涉及重大变更。</w:t>
      </w:r>
    </w:p>
    <w:p>
      <w:pPr>
        <w:autoSpaceDE w:val="0"/>
        <w:autoSpaceDN w:val="0"/>
        <w:adjustRightInd w:val="0"/>
        <w:spacing w:line="360" w:lineRule="auto"/>
        <w:ind w:firstLine="480" w:firstLineChars="200"/>
        <w:rPr>
          <w:rFonts w:eastAsia="仿宋_GB2312"/>
          <w:color w:val="FF0000"/>
          <w:kern w:val="0"/>
          <w:sz w:val="24"/>
        </w:rPr>
        <w:sectPr>
          <w:headerReference r:id="rId12" w:type="default"/>
          <w:headerReference r:id="rId13" w:type="even"/>
          <w:pgSz w:w="11906" w:h="16838"/>
          <w:pgMar w:top="1701" w:right="1418" w:bottom="1701" w:left="1418" w:header="851" w:footer="992" w:gutter="0"/>
          <w:cols w:space="720" w:num="1"/>
          <w:docGrid w:linePitch="312" w:charSpace="0"/>
        </w:sectPr>
      </w:pPr>
    </w:p>
    <w:p>
      <w:pPr>
        <w:pStyle w:val="47"/>
        <w:topLinePunct/>
        <w:adjustRightInd w:val="0"/>
        <w:spacing w:before="0" w:after="0" w:line="360" w:lineRule="auto"/>
        <w:jc w:val="both"/>
        <w:rPr>
          <w:rFonts w:eastAsia="仿宋_GB2312"/>
          <w:szCs w:val="36"/>
          <w:lang w:eastAsia="zh-CN"/>
        </w:rPr>
      </w:pPr>
      <w:bookmarkStart w:id="27" w:name="_Toc134801922"/>
      <w:r>
        <w:rPr>
          <w:rFonts w:eastAsia="仿宋_GB2312"/>
          <w:szCs w:val="36"/>
        </w:rPr>
        <w:t xml:space="preserve">4 </w:t>
      </w:r>
      <w:r>
        <w:rPr>
          <w:rFonts w:eastAsia="仿宋_GB2312"/>
          <w:szCs w:val="36"/>
          <w:lang w:eastAsia="zh-CN"/>
        </w:rPr>
        <w:t>水土流失防治措施监测结果</w:t>
      </w:r>
      <w:bookmarkEnd w:id="27"/>
    </w:p>
    <w:p>
      <w:pPr>
        <w:adjustRightInd w:val="0"/>
        <w:spacing w:line="360" w:lineRule="auto"/>
        <w:ind w:firstLine="480" w:firstLineChars="200"/>
        <w:rPr>
          <w:rFonts w:eastAsia="仿宋_GB2312"/>
          <w:kern w:val="0"/>
          <w:sz w:val="24"/>
        </w:rPr>
      </w:pPr>
      <w:r>
        <w:rPr>
          <w:rFonts w:eastAsia="仿宋_GB2312"/>
          <w:kern w:val="0"/>
          <w:sz w:val="24"/>
        </w:rPr>
        <w:t>建设过程中采取了工程措施、植物措施和临时措施相结合的防治体系。工程措施包括雨水管网、透水铺装（道路透水铺装、操场塑胶跑道、操场人工草皮）、排水沟、雨水收集池、土地整治等措施；植物措施包括实地绿化和屋顶绿化，临时措施包括临时覆盖（密目网覆盖、彩条布覆盖）等措施。</w:t>
      </w:r>
      <w:r>
        <w:rPr>
          <w:rFonts w:hint="eastAsia" w:eastAsia="仿宋_GB2312"/>
          <w:kern w:val="0"/>
          <w:sz w:val="24"/>
        </w:rPr>
        <w:t>由于</w:t>
      </w:r>
      <w:r>
        <w:rPr>
          <w:rFonts w:hint="eastAsia" w:eastAsia="仿宋_GB2312"/>
          <w:sz w:val="24"/>
        </w:rPr>
        <w:t>本项目临建设施将移交给建设单位另一建设项目“茶园支十五路道路及配套工程”使用，故临建设施占地不纳入本次监测。</w:t>
      </w:r>
    </w:p>
    <w:p>
      <w:pPr>
        <w:pStyle w:val="3"/>
        <w:adjustRightInd w:val="0"/>
        <w:spacing w:before="0" w:after="0" w:line="360" w:lineRule="auto"/>
        <w:rPr>
          <w:rFonts w:ascii="Times New Roman" w:hAnsi="Times New Roman" w:eastAsia="仿宋_GB2312"/>
          <w:bCs w:val="0"/>
          <w:sz w:val="28"/>
          <w:szCs w:val="28"/>
          <w:lang w:eastAsia="zh-CN"/>
        </w:rPr>
      </w:pPr>
      <w:bookmarkStart w:id="28" w:name="_Toc134801923"/>
      <w:r>
        <w:rPr>
          <w:rFonts w:ascii="Times New Roman" w:hAnsi="Times New Roman" w:eastAsia="仿宋_GB2312"/>
          <w:bCs w:val="0"/>
          <w:sz w:val="28"/>
          <w:szCs w:val="28"/>
        </w:rPr>
        <w:t xml:space="preserve">4.1 </w:t>
      </w:r>
      <w:r>
        <w:rPr>
          <w:rFonts w:ascii="Times New Roman" w:hAnsi="Times New Roman" w:eastAsia="仿宋_GB2312"/>
          <w:bCs w:val="0"/>
          <w:sz w:val="28"/>
          <w:szCs w:val="28"/>
          <w:lang w:eastAsia="zh-CN"/>
        </w:rPr>
        <w:t>工程措施监测结果</w:t>
      </w:r>
      <w:bookmarkEnd w:id="28"/>
    </w:p>
    <w:p>
      <w:pPr>
        <w:pStyle w:val="4"/>
        <w:keepLines/>
        <w:topLinePunct/>
        <w:adjustRightInd w:val="0"/>
        <w:snapToGrid w:val="0"/>
        <w:spacing w:line="360" w:lineRule="auto"/>
        <w:rPr>
          <w:bCs w:val="0"/>
          <w:sz w:val="24"/>
          <w:szCs w:val="24"/>
        </w:rPr>
      </w:pPr>
      <w:r>
        <w:rPr>
          <w:bCs w:val="0"/>
          <w:sz w:val="24"/>
          <w:szCs w:val="24"/>
        </w:rPr>
        <w:t>4.1.1 工程措施监测方法</w:t>
      </w:r>
    </w:p>
    <w:p>
      <w:pPr>
        <w:adjustRightInd w:val="0"/>
        <w:spacing w:line="360" w:lineRule="auto"/>
        <w:ind w:firstLine="480" w:firstLineChars="200"/>
        <w:rPr>
          <w:rFonts w:eastAsia="仿宋_GB2312"/>
          <w:sz w:val="24"/>
        </w:rPr>
      </w:pPr>
      <w:r>
        <w:rPr>
          <w:rFonts w:eastAsia="仿宋_GB2312"/>
          <w:kern w:val="0"/>
          <w:sz w:val="24"/>
        </w:rPr>
        <w:t>工程措施监测以调查法为主，在查阅设计、监理等资料的基础上，通过现场实地调查确定工程措施的工程量，并对措施的稳定性、完好程度及运行情况及时进行监测</w:t>
      </w:r>
      <w:r>
        <w:rPr>
          <w:rFonts w:eastAsia="仿宋_GB2312"/>
          <w:sz w:val="24"/>
        </w:rPr>
        <w:t>。</w:t>
      </w:r>
    </w:p>
    <w:p>
      <w:pPr>
        <w:pStyle w:val="4"/>
        <w:keepLines/>
        <w:topLinePunct/>
        <w:adjustRightInd w:val="0"/>
        <w:snapToGrid w:val="0"/>
        <w:spacing w:line="360" w:lineRule="auto"/>
        <w:rPr>
          <w:bCs w:val="0"/>
          <w:sz w:val="24"/>
          <w:szCs w:val="24"/>
        </w:rPr>
      </w:pPr>
      <w:r>
        <w:rPr>
          <w:bCs w:val="0"/>
          <w:sz w:val="24"/>
          <w:szCs w:val="24"/>
        </w:rPr>
        <w:t>4.1.2 工程措施设计</w:t>
      </w:r>
    </w:p>
    <w:p>
      <w:pPr>
        <w:adjustRightInd w:val="0"/>
        <w:spacing w:line="360" w:lineRule="auto"/>
        <w:ind w:firstLine="480" w:firstLineChars="200"/>
        <w:rPr>
          <w:rFonts w:eastAsia="仿宋_GB2312"/>
          <w:sz w:val="24"/>
        </w:rPr>
      </w:pPr>
      <w:r>
        <w:rPr>
          <w:rFonts w:eastAsia="仿宋_GB2312"/>
          <w:sz w:val="24"/>
        </w:rPr>
        <w:t>水土保持方案工程措施设计：</w:t>
      </w:r>
    </w:p>
    <w:p>
      <w:pPr>
        <w:pStyle w:val="63"/>
        <w:numPr>
          <w:ilvl w:val="0"/>
          <w:numId w:val="9"/>
        </w:numPr>
        <w:adjustRightInd w:val="0"/>
        <w:spacing w:line="360" w:lineRule="auto"/>
        <w:ind w:firstLineChars="0"/>
      </w:pPr>
      <w:r>
        <w:t>项目建设防治区</w:t>
      </w:r>
    </w:p>
    <w:p>
      <w:pPr>
        <w:pStyle w:val="63"/>
        <w:numPr>
          <w:ilvl w:val="0"/>
          <w:numId w:val="10"/>
        </w:numPr>
        <w:adjustRightInd w:val="0"/>
        <w:spacing w:line="360" w:lineRule="auto"/>
        <w:ind w:firstLineChars="0"/>
      </w:pPr>
      <w:r>
        <w:t>雨水管网</w:t>
      </w:r>
    </w:p>
    <w:p>
      <w:pPr>
        <w:adjustRightInd w:val="0"/>
        <w:spacing w:line="360" w:lineRule="auto"/>
        <w:ind w:firstLine="480" w:firstLineChars="200"/>
        <w:rPr>
          <w:rFonts w:eastAsia="仿宋_GB2312"/>
          <w:sz w:val="24"/>
        </w:rPr>
      </w:pPr>
      <w:r>
        <w:rPr>
          <w:rFonts w:eastAsia="仿宋_GB2312"/>
          <w:sz w:val="24"/>
        </w:rPr>
        <w:t>施工后期，于场地内部布置了雨水管网，雨水管网管材为硬聚氯乙烯双壁波纹管，管径为DN300-DN1000，</w:t>
      </w:r>
      <w:r>
        <w:rPr>
          <w:rFonts w:eastAsia="仿宋_GB2312"/>
          <w:sz w:val="24"/>
          <w:szCs w:val="28"/>
        </w:rPr>
        <w:t>排向周边市政路城市雨水管道内</w:t>
      </w:r>
      <w:r>
        <w:rPr>
          <w:rFonts w:eastAsia="仿宋_GB2312"/>
          <w:sz w:val="24"/>
        </w:rPr>
        <w:t>，布设长度为1127m。</w:t>
      </w:r>
    </w:p>
    <w:p>
      <w:pPr>
        <w:pStyle w:val="63"/>
        <w:numPr>
          <w:ilvl w:val="0"/>
          <w:numId w:val="10"/>
        </w:numPr>
        <w:adjustRightInd w:val="0"/>
        <w:spacing w:line="360" w:lineRule="auto"/>
        <w:ind w:firstLineChars="0"/>
      </w:pPr>
      <w:r>
        <w:t>透水铺装</w:t>
      </w:r>
    </w:p>
    <w:p>
      <w:pPr>
        <w:adjustRightInd w:val="0"/>
        <w:spacing w:line="360" w:lineRule="auto"/>
        <w:ind w:firstLine="480" w:firstLineChars="200"/>
        <w:rPr>
          <w:rFonts w:eastAsia="仿宋_GB2312"/>
          <w:sz w:val="24"/>
        </w:rPr>
      </w:pPr>
      <w:r>
        <w:rPr>
          <w:rFonts w:eastAsia="仿宋_GB2312"/>
          <w:sz w:val="24"/>
        </w:rPr>
        <w:t>工程在项目区内部人行道及操场设置透水铺装，修建完成了道路透水铺装共8384.22m</w:t>
      </w:r>
      <w:r>
        <w:rPr>
          <w:rFonts w:eastAsia="仿宋_GB2312"/>
          <w:sz w:val="24"/>
          <w:vertAlign w:val="superscript"/>
        </w:rPr>
        <w:t>2</w:t>
      </w:r>
      <w:r>
        <w:rPr>
          <w:rFonts w:eastAsia="仿宋_GB2312"/>
          <w:sz w:val="24"/>
        </w:rPr>
        <w:t>，操场塑胶跑道4011.84m</w:t>
      </w:r>
      <w:r>
        <w:rPr>
          <w:rFonts w:eastAsia="仿宋_GB2312"/>
          <w:sz w:val="24"/>
          <w:vertAlign w:val="superscript"/>
        </w:rPr>
        <w:t>2</w:t>
      </w:r>
      <w:r>
        <w:rPr>
          <w:rFonts w:eastAsia="仿宋_GB2312"/>
          <w:sz w:val="24"/>
        </w:rPr>
        <w:t>，操场人工草皮7760.52m</w:t>
      </w:r>
      <w:r>
        <w:rPr>
          <w:rFonts w:eastAsia="仿宋_GB2312"/>
          <w:sz w:val="24"/>
          <w:vertAlign w:val="superscript"/>
        </w:rPr>
        <w:t>2</w:t>
      </w:r>
      <w:r>
        <w:rPr>
          <w:rFonts w:eastAsia="仿宋_GB2312"/>
          <w:sz w:val="24"/>
        </w:rPr>
        <w:t>。</w:t>
      </w:r>
    </w:p>
    <w:p>
      <w:pPr>
        <w:pStyle w:val="63"/>
        <w:numPr>
          <w:ilvl w:val="0"/>
          <w:numId w:val="10"/>
        </w:numPr>
        <w:adjustRightInd w:val="0"/>
        <w:spacing w:line="360" w:lineRule="auto"/>
        <w:ind w:firstLineChars="0"/>
      </w:pPr>
      <w:r>
        <w:t>排水沟</w:t>
      </w:r>
    </w:p>
    <w:p>
      <w:pPr>
        <w:pStyle w:val="63"/>
        <w:adjustRightInd w:val="0"/>
        <w:spacing w:line="360" w:lineRule="auto"/>
        <w:ind w:firstLine="480"/>
      </w:pPr>
      <w:r>
        <w:t>工程在项目区建构筑物周围修建完成了底宽50cm，高40cm，断面型式为矩形的排水沟，共计3089m。</w:t>
      </w:r>
    </w:p>
    <w:p>
      <w:pPr>
        <w:pStyle w:val="63"/>
        <w:numPr>
          <w:ilvl w:val="0"/>
          <w:numId w:val="10"/>
        </w:numPr>
        <w:adjustRightInd w:val="0"/>
        <w:spacing w:line="360" w:lineRule="auto"/>
        <w:ind w:firstLineChars="0"/>
      </w:pPr>
      <w:r>
        <w:t>雨水收集池</w:t>
      </w:r>
    </w:p>
    <w:p>
      <w:pPr>
        <w:pStyle w:val="63"/>
        <w:adjustRightInd w:val="0"/>
        <w:spacing w:line="360" w:lineRule="auto"/>
        <w:ind w:firstLine="480"/>
      </w:pPr>
      <w:r>
        <w:t>工程在项目区南侧修建完成了雨水收集池1座，容积为650m</w:t>
      </w:r>
      <w:r>
        <w:rPr>
          <w:vertAlign w:val="superscript"/>
        </w:rPr>
        <w:t>3</w:t>
      </w:r>
      <w:r>
        <w:t>。</w:t>
      </w:r>
    </w:p>
    <w:p>
      <w:pPr>
        <w:pStyle w:val="4"/>
        <w:keepLines/>
        <w:topLinePunct/>
        <w:adjustRightInd w:val="0"/>
        <w:snapToGrid w:val="0"/>
        <w:spacing w:line="360" w:lineRule="auto"/>
        <w:rPr>
          <w:bCs w:val="0"/>
          <w:sz w:val="24"/>
          <w:szCs w:val="24"/>
        </w:rPr>
      </w:pPr>
      <w:r>
        <w:rPr>
          <w:bCs w:val="0"/>
          <w:sz w:val="24"/>
          <w:szCs w:val="24"/>
        </w:rPr>
        <w:t>4.1.3 工程措施监测结果</w:t>
      </w:r>
    </w:p>
    <w:p>
      <w:pPr>
        <w:autoSpaceDE w:val="0"/>
        <w:autoSpaceDN w:val="0"/>
        <w:adjustRightInd w:val="0"/>
        <w:spacing w:line="360" w:lineRule="auto"/>
        <w:ind w:firstLine="480" w:firstLineChars="200"/>
        <w:rPr>
          <w:rFonts w:eastAsia="仿宋_GB2312"/>
          <w:kern w:val="0"/>
          <w:sz w:val="24"/>
        </w:rPr>
      </w:pPr>
      <w:r>
        <w:rPr>
          <w:rFonts w:hint="eastAsia" w:eastAsia="仿宋_GB2312"/>
          <w:kern w:val="0"/>
          <w:sz w:val="24"/>
          <w:lang w:val="zh-CN"/>
        </w:rPr>
        <w:t>由于</w:t>
      </w:r>
      <w:r>
        <w:rPr>
          <w:rFonts w:hint="eastAsia" w:eastAsia="仿宋_GB2312"/>
          <w:kern w:val="0"/>
          <w:sz w:val="24"/>
        </w:rPr>
        <w:t>临建设施占地移交给道路建设项目继续使用，方案设计的工程措施还未实施，我单位与建设单位沟通后，建设单位将在道路建设项目完工后实施水土保持方案设计的工程措施，项目建设防治区</w:t>
      </w:r>
      <w:r>
        <w:rPr>
          <w:rFonts w:eastAsia="仿宋_GB2312"/>
          <w:kern w:val="0"/>
          <w:sz w:val="24"/>
        </w:rPr>
        <w:t>水土保持工程措施基本与原水土保持方案中一致。</w:t>
      </w:r>
    </w:p>
    <w:p>
      <w:pPr>
        <w:pStyle w:val="3"/>
        <w:adjustRightInd w:val="0"/>
        <w:spacing w:before="0" w:after="0" w:line="360" w:lineRule="auto"/>
        <w:rPr>
          <w:rFonts w:ascii="Times New Roman" w:hAnsi="Times New Roman" w:eastAsia="仿宋_GB2312"/>
          <w:bCs w:val="0"/>
          <w:sz w:val="28"/>
          <w:szCs w:val="28"/>
          <w:lang w:eastAsia="zh-CN"/>
        </w:rPr>
      </w:pPr>
      <w:bookmarkStart w:id="29" w:name="_Toc134801924"/>
      <w:r>
        <w:rPr>
          <w:rFonts w:ascii="Times New Roman" w:hAnsi="Times New Roman" w:eastAsia="仿宋_GB2312"/>
          <w:bCs w:val="0"/>
          <w:sz w:val="28"/>
          <w:szCs w:val="28"/>
        </w:rPr>
        <w:t xml:space="preserve">4.2 </w:t>
      </w:r>
      <w:r>
        <w:rPr>
          <w:rFonts w:ascii="Times New Roman" w:hAnsi="Times New Roman" w:eastAsia="仿宋_GB2312"/>
          <w:bCs w:val="0"/>
          <w:sz w:val="28"/>
          <w:szCs w:val="28"/>
          <w:lang w:eastAsia="zh-CN"/>
        </w:rPr>
        <w:t>植物措施监测结果</w:t>
      </w:r>
      <w:bookmarkEnd w:id="29"/>
    </w:p>
    <w:p>
      <w:pPr>
        <w:pStyle w:val="4"/>
        <w:keepLines/>
        <w:topLinePunct/>
        <w:adjustRightInd w:val="0"/>
        <w:snapToGrid w:val="0"/>
        <w:spacing w:line="360" w:lineRule="auto"/>
        <w:rPr>
          <w:bCs w:val="0"/>
          <w:sz w:val="24"/>
          <w:szCs w:val="24"/>
        </w:rPr>
      </w:pPr>
      <w:r>
        <w:rPr>
          <w:bCs w:val="0"/>
          <w:sz w:val="24"/>
          <w:szCs w:val="24"/>
        </w:rPr>
        <w:t>4.2.1 植物措施监测方法</w:t>
      </w:r>
    </w:p>
    <w:p>
      <w:pPr>
        <w:adjustRightInd w:val="0"/>
        <w:spacing w:line="360" w:lineRule="auto"/>
        <w:ind w:firstLine="480" w:firstLineChars="200"/>
        <w:rPr>
          <w:rFonts w:eastAsia="仿宋_GB2312"/>
          <w:kern w:val="0"/>
          <w:sz w:val="24"/>
        </w:rPr>
      </w:pPr>
      <w:r>
        <w:rPr>
          <w:rFonts w:eastAsia="仿宋_GB2312"/>
          <w:kern w:val="0"/>
          <w:sz w:val="24"/>
        </w:rPr>
        <w:t>包括植物类型及面积、成活率及生长状况、植被盖度</w:t>
      </w:r>
      <w:r>
        <w:rPr>
          <w:rFonts w:hint="eastAsia" w:eastAsia="仿宋_GB2312"/>
          <w:kern w:val="0"/>
          <w:sz w:val="24"/>
        </w:rPr>
        <w:t>（</w:t>
      </w:r>
      <w:r>
        <w:rPr>
          <w:rFonts w:eastAsia="仿宋_GB2312"/>
          <w:kern w:val="0"/>
          <w:sz w:val="24"/>
        </w:rPr>
        <w:t>郁闭度</w:t>
      </w:r>
      <w:r>
        <w:rPr>
          <w:rFonts w:hint="eastAsia" w:eastAsia="仿宋_GB2312"/>
          <w:kern w:val="0"/>
          <w:sz w:val="24"/>
        </w:rPr>
        <w:t>）</w:t>
      </w:r>
      <w:r>
        <w:rPr>
          <w:rFonts w:eastAsia="仿宋_GB2312"/>
          <w:kern w:val="0"/>
          <w:sz w:val="24"/>
        </w:rPr>
        <w:t>。植物类型及面积采用调查法监测；成活率、保存率及生长状况采用抽样调查的方法确定；植被</w:t>
      </w:r>
      <w:r>
        <w:rPr>
          <w:rFonts w:hint="eastAsia" w:eastAsia="仿宋_GB2312"/>
          <w:kern w:val="0"/>
          <w:sz w:val="24"/>
        </w:rPr>
        <w:t>（</w:t>
      </w:r>
      <w:r>
        <w:rPr>
          <w:rFonts w:eastAsia="仿宋_GB2312"/>
          <w:kern w:val="0"/>
          <w:sz w:val="24"/>
        </w:rPr>
        <w:t>郁闭</w:t>
      </w:r>
      <w:r>
        <w:rPr>
          <w:rFonts w:hint="eastAsia" w:eastAsia="仿宋_GB2312"/>
          <w:kern w:val="0"/>
          <w:sz w:val="24"/>
        </w:rPr>
        <w:t>）</w:t>
      </w:r>
      <w:r>
        <w:rPr>
          <w:rFonts w:eastAsia="仿宋_GB2312"/>
          <w:kern w:val="0"/>
          <w:sz w:val="24"/>
        </w:rPr>
        <w:t>盖度采用树冠投影法、线段法、照相法、针刺法；林草植被覆盖度根据调查获得的植被面积按照林草措施面积/项目建设区面积计算。</w:t>
      </w:r>
    </w:p>
    <w:p>
      <w:pPr>
        <w:pStyle w:val="4"/>
        <w:keepLines/>
        <w:topLinePunct/>
        <w:adjustRightInd w:val="0"/>
        <w:snapToGrid w:val="0"/>
        <w:spacing w:line="360" w:lineRule="auto"/>
        <w:rPr>
          <w:bCs w:val="0"/>
          <w:sz w:val="24"/>
          <w:szCs w:val="24"/>
        </w:rPr>
      </w:pPr>
      <w:r>
        <w:rPr>
          <w:bCs w:val="0"/>
          <w:sz w:val="24"/>
          <w:szCs w:val="24"/>
        </w:rPr>
        <w:t xml:space="preserve">4.2.2 </w:t>
      </w:r>
      <w:r>
        <w:rPr>
          <w:bCs w:val="0"/>
          <w:sz w:val="24"/>
          <w:szCs w:val="24"/>
          <w:lang w:eastAsia="zh-CN"/>
        </w:rPr>
        <w:t>植物</w:t>
      </w:r>
      <w:r>
        <w:rPr>
          <w:bCs w:val="0"/>
          <w:sz w:val="24"/>
          <w:szCs w:val="24"/>
        </w:rPr>
        <w:t>措施设计</w:t>
      </w:r>
    </w:p>
    <w:p>
      <w:pPr>
        <w:adjustRightInd w:val="0"/>
        <w:spacing w:line="360" w:lineRule="auto"/>
        <w:ind w:firstLine="480" w:firstLineChars="200"/>
        <w:rPr>
          <w:rFonts w:eastAsia="仿宋_GB2312"/>
          <w:sz w:val="24"/>
        </w:rPr>
      </w:pPr>
      <w:r>
        <w:rPr>
          <w:rFonts w:eastAsia="仿宋_GB2312"/>
          <w:sz w:val="24"/>
        </w:rPr>
        <w:t>水土保持方案植物措施设计：</w:t>
      </w:r>
    </w:p>
    <w:p>
      <w:pPr>
        <w:pStyle w:val="63"/>
        <w:numPr>
          <w:ilvl w:val="0"/>
          <w:numId w:val="11"/>
        </w:numPr>
        <w:adjustRightInd w:val="0"/>
        <w:spacing w:line="360" w:lineRule="auto"/>
        <w:ind w:hanging="704" w:firstLineChars="0"/>
      </w:pPr>
      <w:r>
        <w:t>项目建设防治区</w:t>
      </w:r>
    </w:p>
    <w:p>
      <w:pPr>
        <w:pStyle w:val="63"/>
        <w:numPr>
          <w:ilvl w:val="0"/>
          <w:numId w:val="12"/>
        </w:numPr>
        <w:adjustRightInd w:val="0"/>
        <w:spacing w:line="360" w:lineRule="auto"/>
        <w:ind w:firstLineChars="0"/>
        <w:rPr>
          <w:bCs/>
        </w:rPr>
      </w:pPr>
      <w:r>
        <w:rPr>
          <w:bCs/>
        </w:rPr>
        <w:t>实地绿化和屋顶绿化</w:t>
      </w:r>
    </w:p>
    <w:p>
      <w:pPr>
        <w:adjustRightInd w:val="0"/>
        <w:spacing w:line="360" w:lineRule="auto"/>
        <w:ind w:firstLine="480" w:firstLineChars="200"/>
        <w:rPr>
          <w:rFonts w:eastAsia="仿宋_GB2312"/>
          <w:snapToGrid w:val="0"/>
          <w:kern w:val="0"/>
          <w:sz w:val="24"/>
        </w:rPr>
      </w:pPr>
      <w:r>
        <w:rPr>
          <w:rFonts w:eastAsia="仿宋_GB2312"/>
          <w:bCs/>
          <w:sz w:val="24"/>
        </w:rPr>
        <w:t>根据主体工程资料，</w:t>
      </w:r>
      <w:r>
        <w:rPr>
          <w:rFonts w:eastAsia="仿宋_GB2312"/>
          <w:sz w:val="24"/>
        </w:rPr>
        <w:t>工程对项目区内进行实地绿化及屋顶绿化措施，采用乔灌草混合种植，实地绿化和屋顶绿化面积为</w:t>
      </w:r>
      <w:r>
        <w:rPr>
          <w:rFonts w:eastAsia="仿宋_GB2312"/>
          <w:spacing w:val="-6"/>
          <w:kern w:val="0"/>
          <w:sz w:val="24"/>
        </w:rPr>
        <w:t>11494.11</w:t>
      </w:r>
      <w:r>
        <w:rPr>
          <w:rFonts w:eastAsia="仿宋_GB2312"/>
          <w:sz w:val="24"/>
        </w:rPr>
        <w:t>m</w:t>
      </w:r>
      <w:r>
        <w:rPr>
          <w:rFonts w:eastAsia="仿宋_GB2312"/>
          <w:sz w:val="24"/>
          <w:vertAlign w:val="superscript"/>
        </w:rPr>
        <w:t>2</w:t>
      </w:r>
      <w:r>
        <w:rPr>
          <w:rFonts w:eastAsia="仿宋_GB2312"/>
          <w:sz w:val="24"/>
        </w:rPr>
        <w:t>，其中</w:t>
      </w:r>
      <w:r>
        <w:rPr>
          <w:rFonts w:eastAsia="仿宋_GB2312"/>
          <w:sz w:val="24"/>
          <w:szCs w:val="28"/>
        </w:rPr>
        <w:t>实地绿化面积10505.35m</w:t>
      </w:r>
      <w:r>
        <w:rPr>
          <w:rFonts w:eastAsia="仿宋_GB2312"/>
          <w:sz w:val="24"/>
          <w:szCs w:val="28"/>
          <w:vertAlign w:val="superscript"/>
        </w:rPr>
        <w:t>2</w:t>
      </w:r>
      <w:r>
        <w:rPr>
          <w:rFonts w:eastAsia="仿宋_GB2312"/>
          <w:sz w:val="24"/>
          <w:szCs w:val="28"/>
        </w:rPr>
        <w:t>，屋顶绿化面积988.76m</w:t>
      </w:r>
      <w:r>
        <w:rPr>
          <w:rFonts w:eastAsia="仿宋_GB2312"/>
          <w:sz w:val="24"/>
          <w:szCs w:val="28"/>
          <w:vertAlign w:val="superscript"/>
        </w:rPr>
        <w:t>2</w:t>
      </w:r>
      <w:r>
        <w:rPr>
          <w:rFonts w:eastAsia="仿宋_GB2312"/>
          <w:snapToGrid w:val="0"/>
          <w:kern w:val="0"/>
          <w:sz w:val="24"/>
        </w:rPr>
        <w:t>。</w:t>
      </w:r>
    </w:p>
    <w:p>
      <w:pPr>
        <w:pStyle w:val="4"/>
        <w:keepLines/>
        <w:topLinePunct/>
        <w:adjustRightInd w:val="0"/>
        <w:snapToGrid w:val="0"/>
        <w:spacing w:line="360" w:lineRule="auto"/>
        <w:rPr>
          <w:bCs w:val="0"/>
          <w:sz w:val="24"/>
          <w:szCs w:val="24"/>
        </w:rPr>
      </w:pPr>
      <w:r>
        <w:rPr>
          <w:bCs w:val="0"/>
          <w:sz w:val="24"/>
          <w:szCs w:val="24"/>
        </w:rPr>
        <w:t xml:space="preserve">4.2.3 </w:t>
      </w:r>
      <w:r>
        <w:rPr>
          <w:rFonts w:hint="eastAsia"/>
          <w:bCs w:val="0"/>
          <w:sz w:val="24"/>
          <w:szCs w:val="24"/>
          <w:lang w:eastAsia="zh-CN"/>
        </w:rPr>
        <w:t>植物</w:t>
      </w:r>
      <w:r>
        <w:rPr>
          <w:bCs w:val="0"/>
          <w:sz w:val="24"/>
          <w:szCs w:val="24"/>
        </w:rPr>
        <w:t>措施监测结果</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本地块主体工程绿化面积为</w:t>
      </w:r>
      <w:r>
        <w:rPr>
          <w:rFonts w:eastAsia="仿宋_GB2312"/>
          <w:sz w:val="24"/>
          <w:szCs w:val="28"/>
        </w:rPr>
        <w:t>1.15hm</w:t>
      </w:r>
      <w:r>
        <w:rPr>
          <w:rFonts w:eastAsia="仿宋_GB2312"/>
          <w:sz w:val="24"/>
          <w:szCs w:val="28"/>
          <w:vertAlign w:val="superscript"/>
        </w:rPr>
        <w:t>2</w:t>
      </w:r>
      <w:r>
        <w:rPr>
          <w:rFonts w:eastAsia="仿宋"/>
          <w:kern w:val="0"/>
          <w:sz w:val="24"/>
        </w:rPr>
        <w:t>，</w:t>
      </w:r>
      <w:r>
        <w:rPr>
          <w:rFonts w:hint="eastAsia" w:eastAsia="仿宋_GB2312"/>
          <w:kern w:val="0"/>
          <w:sz w:val="24"/>
          <w:lang w:val="zh-CN"/>
        </w:rPr>
        <w:t>除去</w:t>
      </w:r>
      <w:r>
        <w:rPr>
          <w:rFonts w:hint="eastAsia" w:eastAsia="仿宋_GB2312"/>
          <w:kern w:val="0"/>
          <w:sz w:val="24"/>
        </w:rPr>
        <w:t>临建设施占地不纳入本次监测外，</w:t>
      </w:r>
      <w:r>
        <w:rPr>
          <w:rFonts w:eastAsia="仿宋_GB2312"/>
          <w:kern w:val="0"/>
          <w:sz w:val="24"/>
        </w:rPr>
        <w:t>主体工程绿化率为18.05%</w:t>
      </w:r>
      <w:r>
        <w:rPr>
          <w:rFonts w:hint="eastAsia" w:eastAsia="仿宋_GB2312"/>
          <w:kern w:val="0"/>
          <w:sz w:val="24"/>
        </w:rPr>
        <w:t>，项目建设区植物保存率及成活率优良，均达到9</w:t>
      </w:r>
      <w:r>
        <w:rPr>
          <w:rFonts w:eastAsia="仿宋_GB2312"/>
          <w:kern w:val="0"/>
          <w:sz w:val="24"/>
        </w:rPr>
        <w:t>0</w:t>
      </w:r>
      <w:r>
        <w:rPr>
          <w:rFonts w:hint="eastAsia" w:eastAsia="仿宋_GB2312"/>
          <w:kern w:val="0"/>
          <w:sz w:val="24"/>
        </w:rPr>
        <w:t>%以上。</w:t>
      </w:r>
    </w:p>
    <w:p>
      <w:pPr>
        <w:autoSpaceDE w:val="0"/>
        <w:autoSpaceDN w:val="0"/>
        <w:adjustRightInd w:val="0"/>
        <w:spacing w:line="360" w:lineRule="auto"/>
        <w:ind w:firstLine="480" w:firstLineChars="200"/>
        <w:rPr>
          <w:rFonts w:eastAsia="仿宋_GB2312"/>
          <w:kern w:val="0"/>
          <w:sz w:val="24"/>
        </w:rPr>
      </w:pPr>
      <w:r>
        <w:rPr>
          <w:rFonts w:hint="eastAsia" w:eastAsia="仿宋_GB2312"/>
          <w:kern w:val="0"/>
          <w:sz w:val="24"/>
        </w:rPr>
        <w:t>我单位与建设单位沟通后，建设单位将在道路建设项目完工后继续实施水土保持方案设计的植物措施。此外，项目建设防治区</w:t>
      </w:r>
      <w:r>
        <w:rPr>
          <w:rFonts w:eastAsia="仿宋_GB2312"/>
          <w:kern w:val="0"/>
          <w:sz w:val="24"/>
        </w:rPr>
        <w:t>水土保持植物措施基本按照设计进行布设，工程量变化较小。目前，项目</w:t>
      </w:r>
      <w:r>
        <w:rPr>
          <w:rFonts w:hint="eastAsia" w:eastAsia="仿宋_GB2312"/>
          <w:kern w:val="0"/>
          <w:sz w:val="24"/>
        </w:rPr>
        <w:t>建设区</w:t>
      </w:r>
      <w:r>
        <w:rPr>
          <w:rFonts w:eastAsia="仿宋_GB2312"/>
          <w:kern w:val="0"/>
          <w:sz w:val="24"/>
        </w:rPr>
        <w:t>植被长势良好。</w:t>
      </w:r>
    </w:p>
    <w:p>
      <w:pPr>
        <w:pStyle w:val="3"/>
        <w:adjustRightInd w:val="0"/>
        <w:spacing w:before="0" w:after="0" w:line="360" w:lineRule="auto"/>
        <w:rPr>
          <w:rFonts w:ascii="Times New Roman" w:hAnsi="Times New Roman" w:eastAsia="仿宋_GB2312"/>
          <w:bCs w:val="0"/>
          <w:sz w:val="28"/>
          <w:szCs w:val="28"/>
        </w:rPr>
      </w:pPr>
      <w:bookmarkStart w:id="30" w:name="_Toc134801925"/>
      <w:r>
        <w:rPr>
          <w:rFonts w:ascii="Times New Roman" w:hAnsi="Times New Roman" w:eastAsia="仿宋_GB2312"/>
          <w:bCs w:val="0"/>
          <w:sz w:val="28"/>
          <w:szCs w:val="28"/>
        </w:rPr>
        <w:t xml:space="preserve">4.3 </w:t>
      </w:r>
      <w:r>
        <w:rPr>
          <w:rFonts w:ascii="Times New Roman" w:hAnsi="Times New Roman" w:eastAsia="仿宋_GB2312"/>
          <w:bCs w:val="0"/>
          <w:sz w:val="28"/>
          <w:szCs w:val="28"/>
          <w:lang w:eastAsia="zh-CN"/>
        </w:rPr>
        <w:t>临时防治措施监测结果</w:t>
      </w:r>
      <w:bookmarkEnd w:id="30"/>
    </w:p>
    <w:p>
      <w:pPr>
        <w:pStyle w:val="4"/>
        <w:keepLines/>
        <w:topLinePunct/>
        <w:adjustRightInd w:val="0"/>
        <w:snapToGrid w:val="0"/>
        <w:spacing w:line="360" w:lineRule="auto"/>
        <w:rPr>
          <w:bCs w:val="0"/>
        </w:rPr>
      </w:pPr>
      <w:r>
        <w:rPr>
          <w:bCs w:val="0"/>
          <w:sz w:val="24"/>
          <w:szCs w:val="24"/>
        </w:rPr>
        <w:t>4.3.1 临时措施监测方法</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临时措施监测以调查为主，在查阅设计、监理等资料的基础上，并通过现场实地调查确定临时措施的工程量，并对措施的稳定性、完好程度及运行情况及时进行监测。</w:t>
      </w:r>
    </w:p>
    <w:p>
      <w:pPr>
        <w:pStyle w:val="4"/>
        <w:keepLines/>
        <w:topLinePunct/>
        <w:adjustRightInd w:val="0"/>
        <w:snapToGrid w:val="0"/>
        <w:spacing w:line="360" w:lineRule="auto"/>
        <w:rPr>
          <w:bCs w:val="0"/>
          <w:sz w:val="24"/>
          <w:szCs w:val="24"/>
        </w:rPr>
      </w:pPr>
      <w:r>
        <w:rPr>
          <w:bCs w:val="0"/>
          <w:sz w:val="24"/>
          <w:szCs w:val="24"/>
        </w:rPr>
        <w:t>4.3.2 临时措施设计</w:t>
      </w:r>
    </w:p>
    <w:p>
      <w:pPr>
        <w:pStyle w:val="63"/>
        <w:numPr>
          <w:ilvl w:val="0"/>
          <w:numId w:val="13"/>
        </w:numPr>
        <w:adjustRightInd w:val="0"/>
        <w:spacing w:line="360" w:lineRule="auto"/>
        <w:ind w:hanging="704" w:firstLineChars="0"/>
      </w:pPr>
      <w:r>
        <w:t>项目建设防治区</w:t>
      </w:r>
    </w:p>
    <w:p>
      <w:pPr>
        <w:pStyle w:val="63"/>
        <w:numPr>
          <w:ilvl w:val="0"/>
          <w:numId w:val="14"/>
        </w:numPr>
        <w:adjustRightInd w:val="0"/>
        <w:spacing w:line="360" w:lineRule="auto"/>
        <w:ind w:hanging="651" w:firstLineChars="0"/>
        <w:rPr>
          <w:bCs/>
        </w:rPr>
      </w:pPr>
      <w:r>
        <w:rPr>
          <w:bCs/>
        </w:rPr>
        <w:t>密目网覆盖</w:t>
      </w:r>
    </w:p>
    <w:p>
      <w:pPr>
        <w:adjustRightInd w:val="0"/>
        <w:spacing w:line="360" w:lineRule="auto"/>
        <w:ind w:firstLine="480" w:firstLineChars="200"/>
        <w:rPr>
          <w:rFonts w:eastAsia="仿宋_GB2312"/>
          <w:bCs/>
          <w:sz w:val="24"/>
        </w:rPr>
      </w:pPr>
      <w:r>
        <w:rPr>
          <w:rFonts w:eastAsia="仿宋_GB2312"/>
          <w:bCs/>
          <w:sz w:val="24"/>
        </w:rPr>
        <w:t>工程在项目建设区内部分裸露区域采取了密目网覆盖</w:t>
      </w:r>
      <w:r>
        <w:rPr>
          <w:rFonts w:eastAsia="仿宋_GB2312"/>
          <w:sz w:val="24"/>
          <w:szCs w:val="28"/>
        </w:rPr>
        <w:t>，覆盖面积约6500m</w:t>
      </w:r>
      <w:r>
        <w:rPr>
          <w:rFonts w:eastAsia="仿宋_GB2312"/>
          <w:sz w:val="24"/>
          <w:szCs w:val="28"/>
          <w:vertAlign w:val="superscript"/>
        </w:rPr>
        <w:t>2</w:t>
      </w:r>
      <w:r>
        <w:rPr>
          <w:rFonts w:eastAsia="仿宋_GB2312"/>
          <w:bCs/>
          <w:sz w:val="24"/>
        </w:rPr>
        <w:t>。</w:t>
      </w:r>
    </w:p>
    <w:p>
      <w:pPr>
        <w:pStyle w:val="63"/>
        <w:numPr>
          <w:ilvl w:val="0"/>
          <w:numId w:val="14"/>
        </w:numPr>
        <w:adjustRightInd w:val="0"/>
        <w:spacing w:line="360" w:lineRule="auto"/>
        <w:ind w:hanging="651" w:firstLineChars="0"/>
        <w:rPr>
          <w:bCs/>
        </w:rPr>
      </w:pPr>
      <w:r>
        <w:rPr>
          <w:bCs/>
        </w:rPr>
        <w:t>彩条布覆盖</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工程对</w:t>
      </w:r>
      <w:r>
        <w:rPr>
          <w:rFonts w:eastAsia="仿宋_GB2312"/>
          <w:sz w:val="24"/>
          <w:szCs w:val="28"/>
        </w:rPr>
        <w:t>场地内部分堆土采取</w:t>
      </w:r>
      <w:r>
        <w:rPr>
          <w:rFonts w:hint="eastAsia" w:eastAsia="仿宋_GB2312"/>
          <w:sz w:val="24"/>
          <w:szCs w:val="28"/>
        </w:rPr>
        <w:t>了</w:t>
      </w:r>
      <w:r>
        <w:rPr>
          <w:rFonts w:eastAsia="仿宋_GB2312"/>
          <w:sz w:val="24"/>
          <w:szCs w:val="28"/>
        </w:rPr>
        <w:t>彩条布覆盖，减轻</w:t>
      </w:r>
      <w:r>
        <w:rPr>
          <w:rFonts w:hint="eastAsia" w:eastAsia="仿宋_GB2312"/>
          <w:sz w:val="24"/>
          <w:szCs w:val="28"/>
        </w:rPr>
        <w:t>了</w:t>
      </w:r>
      <w:r>
        <w:rPr>
          <w:rFonts w:eastAsia="仿宋_GB2312"/>
          <w:sz w:val="24"/>
          <w:szCs w:val="28"/>
        </w:rPr>
        <w:t>雨水及地表径流对堆土的冲刷，控制水土流失，临时覆盖面积为40m</w:t>
      </w:r>
      <w:r>
        <w:rPr>
          <w:rFonts w:eastAsia="仿宋_GB2312"/>
          <w:sz w:val="24"/>
          <w:szCs w:val="28"/>
          <w:vertAlign w:val="superscript"/>
        </w:rPr>
        <w:t>2</w:t>
      </w:r>
      <w:r>
        <w:rPr>
          <w:rFonts w:eastAsia="仿宋_GB2312"/>
          <w:kern w:val="0"/>
          <w:sz w:val="24"/>
        </w:rPr>
        <w:t>。</w:t>
      </w:r>
    </w:p>
    <w:p>
      <w:pPr>
        <w:pStyle w:val="4"/>
        <w:keepLines/>
        <w:topLinePunct/>
        <w:adjustRightInd w:val="0"/>
        <w:snapToGrid w:val="0"/>
        <w:spacing w:line="360" w:lineRule="auto"/>
        <w:rPr>
          <w:bCs w:val="0"/>
        </w:rPr>
      </w:pPr>
      <w:r>
        <w:rPr>
          <w:bCs w:val="0"/>
          <w:sz w:val="24"/>
          <w:szCs w:val="24"/>
        </w:rPr>
        <w:t>4.3.3 临时措施监测结果</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本项目水土保持临时措施基本与原水土保持方案中一致。</w:t>
      </w:r>
    </w:p>
    <w:p>
      <w:pPr>
        <w:pStyle w:val="3"/>
        <w:adjustRightInd w:val="0"/>
        <w:spacing w:before="0" w:after="0" w:line="360" w:lineRule="auto"/>
        <w:rPr>
          <w:rFonts w:ascii="Times New Roman" w:hAnsi="Times New Roman" w:eastAsia="仿宋_GB2312"/>
          <w:bCs w:val="0"/>
          <w:sz w:val="28"/>
          <w:szCs w:val="28"/>
          <w:lang w:eastAsia="zh-CN"/>
        </w:rPr>
      </w:pPr>
      <w:bookmarkStart w:id="31" w:name="_Toc134801926"/>
      <w:r>
        <w:rPr>
          <w:rFonts w:ascii="Times New Roman" w:hAnsi="Times New Roman" w:eastAsia="仿宋_GB2312"/>
          <w:bCs w:val="0"/>
          <w:sz w:val="28"/>
          <w:szCs w:val="28"/>
        </w:rPr>
        <w:t xml:space="preserve">4.4 </w:t>
      </w:r>
      <w:r>
        <w:rPr>
          <w:rFonts w:ascii="Times New Roman" w:hAnsi="Times New Roman" w:eastAsia="仿宋_GB2312"/>
          <w:bCs w:val="0"/>
          <w:sz w:val="28"/>
          <w:szCs w:val="28"/>
          <w:lang w:eastAsia="zh-CN"/>
        </w:rPr>
        <w:t>水土保持措施防治效果</w:t>
      </w:r>
      <w:bookmarkEnd w:id="31"/>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根据现场实地查勘，工程已实施的一系列水土流失防治措施，整体运行良好，有效的起到了防治水土流失的目的。排水管网等工程措施严格按照设计尺寸施工，保证过流量；主体绿化按照设计要求进行栽植，达到了设计要求，成活率高，暂未发现需要补植区域；场地内水土保持现状满足水土保持要求。</w:t>
      </w:r>
    </w:p>
    <w:p>
      <w:pPr>
        <w:widowControl/>
        <w:jc w:val="left"/>
        <w:rPr>
          <w:rFonts w:eastAsia="仿宋_GB2312"/>
          <w:kern w:val="0"/>
          <w:sz w:val="24"/>
        </w:rPr>
      </w:pPr>
      <w:r>
        <w:rPr>
          <w:rFonts w:eastAsia="仿宋_GB2312"/>
          <w:kern w:val="0"/>
          <w:sz w:val="24"/>
        </w:rPr>
        <w:br w:type="page"/>
      </w:r>
    </w:p>
    <w:p>
      <w:pPr>
        <w:adjustRightInd w:val="0"/>
        <w:snapToGrid w:val="0"/>
        <w:spacing w:line="360" w:lineRule="auto"/>
        <w:ind w:firstLine="482" w:firstLineChars="200"/>
        <w:jc w:val="center"/>
        <w:rPr>
          <w:rFonts w:eastAsia="仿宋_GB2312"/>
          <w:b/>
          <w:sz w:val="24"/>
        </w:rPr>
      </w:pPr>
      <w:r>
        <w:rPr>
          <w:rFonts w:eastAsia="仿宋_GB2312"/>
          <w:b/>
          <w:sz w:val="24"/>
        </w:rPr>
        <w:t xml:space="preserve">表4-1 </w:t>
      </w:r>
      <w:bookmarkStart w:id="32" w:name="OLE_LINK3"/>
      <w:r>
        <w:rPr>
          <w:rFonts w:eastAsia="仿宋_GB2312"/>
          <w:b/>
          <w:sz w:val="24"/>
        </w:rPr>
        <w:t>水土保持措施监测表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164"/>
        <w:gridCol w:w="1549"/>
        <w:gridCol w:w="735"/>
        <w:gridCol w:w="1222"/>
        <w:gridCol w:w="1222"/>
        <w:gridCol w:w="12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Align w:val="center"/>
          </w:tcPr>
          <w:p>
            <w:pPr>
              <w:autoSpaceDE w:val="0"/>
              <w:autoSpaceDN w:val="0"/>
              <w:adjustRightInd w:val="0"/>
              <w:jc w:val="center"/>
              <w:rPr>
                <w:rFonts w:eastAsia="仿宋_GB2312"/>
                <w:b/>
                <w:bCs/>
                <w:kern w:val="0"/>
                <w:szCs w:val="21"/>
              </w:rPr>
            </w:pPr>
            <w:r>
              <w:rPr>
                <w:rFonts w:eastAsia="仿宋_GB2312"/>
                <w:b/>
                <w:bCs/>
                <w:kern w:val="0"/>
                <w:szCs w:val="21"/>
              </w:rPr>
              <w:t>防治分区</w:t>
            </w:r>
          </w:p>
        </w:tc>
        <w:tc>
          <w:tcPr>
            <w:tcW w:w="627" w:type="pct"/>
            <w:vAlign w:val="center"/>
          </w:tcPr>
          <w:p>
            <w:pPr>
              <w:autoSpaceDE w:val="0"/>
              <w:autoSpaceDN w:val="0"/>
              <w:adjustRightInd w:val="0"/>
              <w:jc w:val="center"/>
              <w:rPr>
                <w:rFonts w:eastAsia="仿宋_GB2312"/>
                <w:b/>
                <w:bCs/>
                <w:kern w:val="0"/>
                <w:szCs w:val="21"/>
              </w:rPr>
            </w:pPr>
            <w:r>
              <w:rPr>
                <w:rFonts w:eastAsia="仿宋_GB2312"/>
                <w:b/>
                <w:bCs/>
                <w:kern w:val="0"/>
                <w:szCs w:val="21"/>
              </w:rPr>
              <w:t>措施名称</w:t>
            </w:r>
          </w:p>
        </w:tc>
        <w:tc>
          <w:tcPr>
            <w:tcW w:w="834" w:type="pct"/>
            <w:vAlign w:val="center"/>
          </w:tcPr>
          <w:p>
            <w:pPr>
              <w:autoSpaceDE w:val="0"/>
              <w:autoSpaceDN w:val="0"/>
              <w:adjustRightInd w:val="0"/>
              <w:jc w:val="center"/>
              <w:rPr>
                <w:rFonts w:eastAsia="仿宋_GB2312"/>
                <w:b/>
                <w:bCs/>
                <w:kern w:val="0"/>
                <w:szCs w:val="21"/>
              </w:rPr>
            </w:pPr>
            <w:r>
              <w:rPr>
                <w:rFonts w:eastAsia="仿宋_GB2312"/>
                <w:b/>
                <w:bCs/>
                <w:kern w:val="0"/>
                <w:szCs w:val="21"/>
              </w:rPr>
              <w:t>水土保持措施</w:t>
            </w:r>
          </w:p>
        </w:tc>
        <w:tc>
          <w:tcPr>
            <w:tcW w:w="396" w:type="pct"/>
            <w:vAlign w:val="center"/>
          </w:tcPr>
          <w:p>
            <w:pPr>
              <w:autoSpaceDE w:val="0"/>
              <w:autoSpaceDN w:val="0"/>
              <w:adjustRightInd w:val="0"/>
              <w:jc w:val="center"/>
              <w:rPr>
                <w:rFonts w:eastAsia="仿宋_GB2312"/>
                <w:b/>
                <w:bCs/>
                <w:kern w:val="0"/>
                <w:szCs w:val="21"/>
              </w:rPr>
            </w:pPr>
            <w:r>
              <w:rPr>
                <w:rFonts w:eastAsia="仿宋_GB2312"/>
                <w:b/>
                <w:bCs/>
                <w:kern w:val="0"/>
                <w:szCs w:val="21"/>
              </w:rPr>
              <w:t>单位</w:t>
            </w:r>
          </w:p>
        </w:tc>
        <w:tc>
          <w:tcPr>
            <w:tcW w:w="658" w:type="pct"/>
            <w:vAlign w:val="center"/>
          </w:tcPr>
          <w:p>
            <w:pPr>
              <w:autoSpaceDE w:val="0"/>
              <w:autoSpaceDN w:val="0"/>
              <w:adjustRightInd w:val="0"/>
              <w:jc w:val="center"/>
              <w:rPr>
                <w:rFonts w:eastAsia="仿宋_GB2312"/>
                <w:b/>
                <w:bCs/>
                <w:kern w:val="0"/>
                <w:szCs w:val="21"/>
              </w:rPr>
            </w:pPr>
            <w:r>
              <w:rPr>
                <w:rFonts w:eastAsia="仿宋_GB2312"/>
                <w:b/>
                <w:bCs/>
                <w:kern w:val="0"/>
                <w:szCs w:val="21"/>
              </w:rPr>
              <w:t>方案设计</w:t>
            </w:r>
          </w:p>
        </w:tc>
        <w:tc>
          <w:tcPr>
            <w:tcW w:w="658" w:type="pct"/>
            <w:vAlign w:val="center"/>
          </w:tcPr>
          <w:p>
            <w:pPr>
              <w:autoSpaceDE w:val="0"/>
              <w:autoSpaceDN w:val="0"/>
              <w:adjustRightInd w:val="0"/>
              <w:jc w:val="center"/>
              <w:rPr>
                <w:rFonts w:eastAsia="仿宋_GB2312"/>
                <w:b/>
                <w:bCs/>
                <w:kern w:val="0"/>
                <w:szCs w:val="21"/>
              </w:rPr>
            </w:pPr>
            <w:r>
              <w:rPr>
                <w:rFonts w:eastAsia="仿宋_GB2312"/>
                <w:b/>
                <w:bCs/>
                <w:kern w:val="0"/>
                <w:szCs w:val="21"/>
              </w:rPr>
              <w:t>实际完成</w:t>
            </w:r>
          </w:p>
        </w:tc>
        <w:tc>
          <w:tcPr>
            <w:tcW w:w="658" w:type="pct"/>
            <w:vAlign w:val="center"/>
          </w:tcPr>
          <w:p>
            <w:pPr>
              <w:autoSpaceDE w:val="0"/>
              <w:autoSpaceDN w:val="0"/>
              <w:adjustRightInd w:val="0"/>
              <w:jc w:val="center"/>
              <w:rPr>
                <w:rFonts w:eastAsia="仿宋_GB2312"/>
                <w:b/>
                <w:bCs/>
                <w:kern w:val="0"/>
                <w:szCs w:val="21"/>
              </w:rPr>
            </w:pPr>
            <w:r>
              <w:rPr>
                <w:rFonts w:eastAsia="仿宋_GB2312"/>
                <w:b/>
                <w:bCs/>
                <w:kern w:val="0"/>
                <w:szCs w:val="21"/>
              </w:rPr>
              <w:t>增减变化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restart"/>
            <w:vAlign w:val="center"/>
          </w:tcPr>
          <w:p>
            <w:pPr>
              <w:autoSpaceDE w:val="0"/>
              <w:autoSpaceDN w:val="0"/>
              <w:adjustRightInd w:val="0"/>
              <w:jc w:val="center"/>
              <w:rPr>
                <w:rFonts w:eastAsia="仿宋_GB2312"/>
                <w:kern w:val="0"/>
                <w:szCs w:val="21"/>
              </w:rPr>
            </w:pPr>
            <w:r>
              <w:rPr>
                <w:rFonts w:eastAsia="仿宋_GB2312"/>
                <w:kern w:val="0"/>
                <w:szCs w:val="21"/>
              </w:rPr>
              <w:t>项目建设防治区</w:t>
            </w:r>
          </w:p>
        </w:tc>
        <w:tc>
          <w:tcPr>
            <w:tcW w:w="627" w:type="pct"/>
            <w:vMerge w:val="restart"/>
            <w:vAlign w:val="center"/>
          </w:tcPr>
          <w:p>
            <w:pPr>
              <w:autoSpaceDE w:val="0"/>
              <w:autoSpaceDN w:val="0"/>
              <w:adjustRightInd w:val="0"/>
              <w:jc w:val="center"/>
              <w:rPr>
                <w:rFonts w:eastAsia="仿宋_GB2312"/>
                <w:kern w:val="0"/>
                <w:szCs w:val="21"/>
              </w:rPr>
            </w:pPr>
            <w:r>
              <w:rPr>
                <w:rFonts w:eastAsia="仿宋_GB2312"/>
                <w:kern w:val="0"/>
                <w:szCs w:val="21"/>
              </w:rPr>
              <w:t>工程措施</w:t>
            </w: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雨水管网</w:t>
            </w:r>
          </w:p>
        </w:tc>
        <w:tc>
          <w:tcPr>
            <w:tcW w:w="396" w:type="pct"/>
            <w:vAlign w:val="center"/>
          </w:tcPr>
          <w:p>
            <w:pPr>
              <w:autoSpaceDE w:val="0"/>
              <w:autoSpaceDN w:val="0"/>
              <w:adjustRightInd w:val="0"/>
              <w:jc w:val="center"/>
              <w:rPr>
                <w:rFonts w:eastAsia="仿宋_GB2312"/>
                <w:kern w:val="0"/>
                <w:szCs w:val="21"/>
              </w:rPr>
            </w:pPr>
            <w:r>
              <w:rPr>
                <w:rFonts w:eastAsia="仿宋_GB2312"/>
                <w:kern w:val="0"/>
                <w:szCs w:val="21"/>
              </w:rPr>
              <w:t>m</w:t>
            </w:r>
          </w:p>
        </w:tc>
        <w:tc>
          <w:tcPr>
            <w:tcW w:w="658" w:type="pct"/>
            <w:vAlign w:val="center"/>
          </w:tcPr>
          <w:p>
            <w:pPr>
              <w:autoSpaceDE w:val="0"/>
              <w:autoSpaceDN w:val="0"/>
              <w:adjustRightInd w:val="0"/>
              <w:jc w:val="center"/>
              <w:rPr>
                <w:rFonts w:eastAsia="仿宋_GB2312"/>
                <w:kern w:val="0"/>
                <w:szCs w:val="21"/>
              </w:rPr>
            </w:pPr>
            <w:r>
              <w:rPr>
                <w:kern w:val="0"/>
                <w:sz w:val="20"/>
                <w:szCs w:val="20"/>
              </w:rPr>
              <w:t>1127.00</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1127.00</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continue"/>
            <w:vAlign w:val="center"/>
          </w:tcPr>
          <w:p>
            <w:pPr>
              <w:autoSpaceDE w:val="0"/>
              <w:autoSpaceDN w:val="0"/>
              <w:adjustRightInd w:val="0"/>
              <w:jc w:val="center"/>
              <w:rPr>
                <w:rFonts w:eastAsia="仿宋_GB2312"/>
                <w:kern w:val="0"/>
                <w:szCs w:val="21"/>
              </w:rPr>
            </w:pP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道路透水铺装</w:t>
            </w:r>
          </w:p>
        </w:tc>
        <w:tc>
          <w:tcPr>
            <w:tcW w:w="396" w:type="pct"/>
            <w:vAlign w:val="center"/>
          </w:tcPr>
          <w:p>
            <w:pPr>
              <w:autoSpaceDE w:val="0"/>
              <w:autoSpaceDN w:val="0"/>
              <w:adjustRightInd w:val="0"/>
              <w:jc w:val="center"/>
              <w:rPr>
                <w:rFonts w:eastAsia="仿宋_GB2312"/>
                <w:kern w:val="0"/>
                <w:szCs w:val="21"/>
              </w:rPr>
            </w:pPr>
            <w:r>
              <w:rPr>
                <w:kern w:val="0"/>
                <w:sz w:val="20"/>
                <w:szCs w:val="20"/>
              </w:rPr>
              <w:t>m</w:t>
            </w:r>
            <w:r>
              <w:rPr>
                <w:kern w:val="0"/>
                <w:sz w:val="20"/>
                <w:szCs w:val="20"/>
                <w:vertAlign w:val="superscript"/>
              </w:rPr>
              <w:t>2</w:t>
            </w:r>
          </w:p>
        </w:tc>
        <w:tc>
          <w:tcPr>
            <w:tcW w:w="658" w:type="pct"/>
            <w:vAlign w:val="center"/>
          </w:tcPr>
          <w:p>
            <w:pPr>
              <w:autoSpaceDE w:val="0"/>
              <w:autoSpaceDN w:val="0"/>
              <w:adjustRightInd w:val="0"/>
              <w:jc w:val="center"/>
              <w:rPr>
                <w:kern w:val="0"/>
                <w:sz w:val="20"/>
                <w:szCs w:val="20"/>
              </w:rPr>
            </w:pPr>
            <w:r>
              <w:rPr>
                <w:kern w:val="0"/>
                <w:sz w:val="20"/>
                <w:szCs w:val="20"/>
              </w:rPr>
              <w:t>8384.22</w:t>
            </w:r>
          </w:p>
        </w:tc>
        <w:tc>
          <w:tcPr>
            <w:tcW w:w="658" w:type="pct"/>
            <w:vAlign w:val="center"/>
          </w:tcPr>
          <w:p>
            <w:pPr>
              <w:autoSpaceDE w:val="0"/>
              <w:autoSpaceDN w:val="0"/>
              <w:adjustRightInd w:val="0"/>
              <w:jc w:val="center"/>
              <w:rPr>
                <w:rFonts w:eastAsia="仿宋_GB2312"/>
                <w:kern w:val="0"/>
                <w:szCs w:val="21"/>
              </w:rPr>
            </w:pPr>
            <w:r>
              <w:rPr>
                <w:kern w:val="0"/>
                <w:sz w:val="20"/>
                <w:szCs w:val="20"/>
              </w:rPr>
              <w:t>8384.22</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continue"/>
            <w:vAlign w:val="center"/>
          </w:tcPr>
          <w:p>
            <w:pPr>
              <w:autoSpaceDE w:val="0"/>
              <w:autoSpaceDN w:val="0"/>
              <w:adjustRightInd w:val="0"/>
              <w:jc w:val="center"/>
              <w:rPr>
                <w:rFonts w:eastAsia="仿宋_GB2312"/>
                <w:kern w:val="0"/>
                <w:szCs w:val="21"/>
              </w:rPr>
            </w:pP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操场塑胶跑道</w:t>
            </w:r>
          </w:p>
        </w:tc>
        <w:tc>
          <w:tcPr>
            <w:tcW w:w="396" w:type="pct"/>
            <w:vAlign w:val="center"/>
          </w:tcPr>
          <w:p>
            <w:pPr>
              <w:autoSpaceDE w:val="0"/>
              <w:autoSpaceDN w:val="0"/>
              <w:adjustRightInd w:val="0"/>
              <w:jc w:val="center"/>
              <w:rPr>
                <w:rFonts w:eastAsia="仿宋_GB2312"/>
                <w:kern w:val="0"/>
                <w:szCs w:val="21"/>
              </w:rPr>
            </w:pPr>
            <w:r>
              <w:rPr>
                <w:kern w:val="0"/>
                <w:sz w:val="20"/>
                <w:szCs w:val="20"/>
              </w:rPr>
              <w:t>m</w:t>
            </w:r>
            <w:r>
              <w:rPr>
                <w:kern w:val="0"/>
                <w:sz w:val="20"/>
                <w:szCs w:val="20"/>
                <w:vertAlign w:val="superscript"/>
              </w:rPr>
              <w:t>2</w:t>
            </w:r>
          </w:p>
        </w:tc>
        <w:tc>
          <w:tcPr>
            <w:tcW w:w="658" w:type="pct"/>
            <w:vAlign w:val="center"/>
          </w:tcPr>
          <w:p>
            <w:pPr>
              <w:autoSpaceDE w:val="0"/>
              <w:autoSpaceDN w:val="0"/>
              <w:adjustRightInd w:val="0"/>
              <w:jc w:val="center"/>
              <w:rPr>
                <w:kern w:val="0"/>
                <w:sz w:val="20"/>
                <w:szCs w:val="20"/>
              </w:rPr>
            </w:pPr>
            <w:r>
              <w:rPr>
                <w:rFonts w:eastAsia="仿宋_GB2312"/>
                <w:kern w:val="0"/>
                <w:szCs w:val="21"/>
                <w:lang w:bidi="ar"/>
              </w:rPr>
              <w:t>4011.84</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lang w:bidi="ar"/>
              </w:rPr>
              <w:t>4011.84</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continue"/>
            <w:vAlign w:val="center"/>
          </w:tcPr>
          <w:p>
            <w:pPr>
              <w:autoSpaceDE w:val="0"/>
              <w:autoSpaceDN w:val="0"/>
              <w:adjustRightInd w:val="0"/>
              <w:jc w:val="center"/>
              <w:rPr>
                <w:rFonts w:eastAsia="仿宋_GB2312"/>
                <w:kern w:val="0"/>
                <w:szCs w:val="21"/>
              </w:rPr>
            </w:pP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操场人工草皮</w:t>
            </w:r>
          </w:p>
        </w:tc>
        <w:tc>
          <w:tcPr>
            <w:tcW w:w="396" w:type="pct"/>
            <w:vAlign w:val="center"/>
          </w:tcPr>
          <w:p>
            <w:pPr>
              <w:autoSpaceDE w:val="0"/>
              <w:autoSpaceDN w:val="0"/>
              <w:adjustRightInd w:val="0"/>
              <w:jc w:val="center"/>
              <w:rPr>
                <w:rFonts w:eastAsia="仿宋_GB2312"/>
                <w:kern w:val="0"/>
                <w:szCs w:val="21"/>
              </w:rPr>
            </w:pPr>
            <w:r>
              <w:rPr>
                <w:kern w:val="0"/>
                <w:sz w:val="20"/>
                <w:szCs w:val="20"/>
              </w:rPr>
              <w:t>m</w:t>
            </w:r>
            <w:r>
              <w:rPr>
                <w:kern w:val="0"/>
                <w:sz w:val="20"/>
                <w:szCs w:val="20"/>
                <w:vertAlign w:val="superscript"/>
              </w:rPr>
              <w:t>2</w:t>
            </w:r>
          </w:p>
        </w:tc>
        <w:tc>
          <w:tcPr>
            <w:tcW w:w="658" w:type="pct"/>
            <w:vAlign w:val="center"/>
          </w:tcPr>
          <w:p>
            <w:pPr>
              <w:autoSpaceDE w:val="0"/>
              <w:autoSpaceDN w:val="0"/>
              <w:adjustRightInd w:val="0"/>
              <w:jc w:val="center"/>
              <w:rPr>
                <w:kern w:val="0"/>
                <w:sz w:val="20"/>
                <w:szCs w:val="20"/>
              </w:rPr>
            </w:pPr>
            <w:r>
              <w:rPr>
                <w:rFonts w:eastAsia="仿宋_GB2312"/>
                <w:kern w:val="0"/>
                <w:szCs w:val="21"/>
                <w:lang w:bidi="ar"/>
              </w:rPr>
              <w:t>7760.52</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lang w:bidi="ar"/>
              </w:rPr>
              <w:t>7760.52</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continue"/>
            <w:vAlign w:val="center"/>
          </w:tcPr>
          <w:p>
            <w:pPr>
              <w:autoSpaceDE w:val="0"/>
              <w:autoSpaceDN w:val="0"/>
              <w:adjustRightInd w:val="0"/>
              <w:jc w:val="center"/>
              <w:rPr>
                <w:rFonts w:eastAsia="仿宋_GB2312"/>
                <w:kern w:val="0"/>
                <w:szCs w:val="21"/>
              </w:rPr>
            </w:pP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雨水收集池</w:t>
            </w:r>
          </w:p>
        </w:tc>
        <w:tc>
          <w:tcPr>
            <w:tcW w:w="396" w:type="pct"/>
            <w:vAlign w:val="center"/>
          </w:tcPr>
          <w:p>
            <w:pPr>
              <w:autoSpaceDE w:val="0"/>
              <w:autoSpaceDN w:val="0"/>
              <w:adjustRightInd w:val="0"/>
              <w:jc w:val="center"/>
              <w:rPr>
                <w:rFonts w:eastAsia="仿宋_GB2312"/>
                <w:kern w:val="0"/>
                <w:szCs w:val="21"/>
              </w:rPr>
            </w:pPr>
            <w:r>
              <w:rPr>
                <w:rFonts w:eastAsia="仿宋_GB2312"/>
                <w:kern w:val="0"/>
                <w:szCs w:val="21"/>
              </w:rPr>
              <w:t>座</w:t>
            </w:r>
          </w:p>
        </w:tc>
        <w:tc>
          <w:tcPr>
            <w:tcW w:w="658" w:type="pct"/>
            <w:vAlign w:val="center"/>
          </w:tcPr>
          <w:p>
            <w:pPr>
              <w:autoSpaceDE w:val="0"/>
              <w:autoSpaceDN w:val="0"/>
              <w:adjustRightInd w:val="0"/>
              <w:jc w:val="center"/>
              <w:rPr>
                <w:kern w:val="0"/>
                <w:sz w:val="20"/>
                <w:szCs w:val="20"/>
              </w:rPr>
            </w:pPr>
            <w:r>
              <w:rPr>
                <w:rFonts w:eastAsia="仿宋_GB2312"/>
                <w:kern w:val="0"/>
                <w:szCs w:val="21"/>
                <w:lang w:bidi="ar"/>
              </w:rPr>
              <w:t>1</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lang w:bidi="ar"/>
              </w:rPr>
              <w:t>1</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continue"/>
            <w:vAlign w:val="center"/>
          </w:tcPr>
          <w:p>
            <w:pPr>
              <w:autoSpaceDE w:val="0"/>
              <w:autoSpaceDN w:val="0"/>
              <w:adjustRightInd w:val="0"/>
              <w:jc w:val="center"/>
              <w:rPr>
                <w:rFonts w:eastAsia="仿宋_GB2312"/>
                <w:kern w:val="0"/>
                <w:szCs w:val="21"/>
              </w:rPr>
            </w:pP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排水沟</w:t>
            </w:r>
          </w:p>
        </w:tc>
        <w:tc>
          <w:tcPr>
            <w:tcW w:w="396" w:type="pct"/>
            <w:vAlign w:val="center"/>
          </w:tcPr>
          <w:p>
            <w:pPr>
              <w:autoSpaceDE w:val="0"/>
              <w:autoSpaceDN w:val="0"/>
              <w:adjustRightInd w:val="0"/>
              <w:jc w:val="center"/>
              <w:rPr>
                <w:rFonts w:eastAsia="仿宋_GB2312"/>
                <w:kern w:val="0"/>
                <w:szCs w:val="21"/>
              </w:rPr>
            </w:pPr>
            <w:r>
              <w:rPr>
                <w:rFonts w:eastAsia="仿宋_GB2312"/>
                <w:kern w:val="0"/>
                <w:szCs w:val="21"/>
              </w:rPr>
              <w:t>m</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lang w:bidi="ar"/>
              </w:rPr>
              <w:t>3089.00</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lang w:bidi="ar"/>
              </w:rPr>
              <w:t>3089.00</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restart"/>
            <w:vAlign w:val="center"/>
          </w:tcPr>
          <w:p>
            <w:pPr>
              <w:autoSpaceDE w:val="0"/>
              <w:autoSpaceDN w:val="0"/>
              <w:adjustRightInd w:val="0"/>
              <w:jc w:val="center"/>
              <w:rPr>
                <w:rFonts w:eastAsia="仿宋_GB2312"/>
                <w:kern w:val="0"/>
                <w:szCs w:val="21"/>
              </w:rPr>
            </w:pPr>
            <w:r>
              <w:rPr>
                <w:rFonts w:eastAsia="仿宋_GB2312"/>
                <w:kern w:val="0"/>
                <w:szCs w:val="21"/>
              </w:rPr>
              <w:t>植物措施</w:t>
            </w: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实地绿化</w:t>
            </w:r>
          </w:p>
        </w:tc>
        <w:tc>
          <w:tcPr>
            <w:tcW w:w="396" w:type="pct"/>
            <w:vAlign w:val="center"/>
          </w:tcPr>
          <w:p>
            <w:pPr>
              <w:autoSpaceDE w:val="0"/>
              <w:autoSpaceDN w:val="0"/>
              <w:adjustRightInd w:val="0"/>
              <w:jc w:val="center"/>
              <w:rPr>
                <w:rFonts w:eastAsia="仿宋_GB2312"/>
                <w:kern w:val="0"/>
                <w:szCs w:val="21"/>
              </w:rPr>
            </w:pPr>
            <w:r>
              <w:rPr>
                <w:kern w:val="0"/>
                <w:sz w:val="20"/>
                <w:szCs w:val="20"/>
              </w:rPr>
              <w:t>m</w:t>
            </w:r>
            <w:r>
              <w:rPr>
                <w:kern w:val="0"/>
                <w:sz w:val="20"/>
                <w:szCs w:val="20"/>
                <w:vertAlign w:val="superscript"/>
              </w:rPr>
              <w:t>2</w:t>
            </w:r>
          </w:p>
        </w:tc>
        <w:tc>
          <w:tcPr>
            <w:tcW w:w="658" w:type="pct"/>
            <w:vAlign w:val="center"/>
          </w:tcPr>
          <w:p>
            <w:pPr>
              <w:autoSpaceDE w:val="0"/>
              <w:autoSpaceDN w:val="0"/>
              <w:adjustRightInd w:val="0"/>
              <w:jc w:val="center"/>
              <w:rPr>
                <w:rFonts w:eastAsia="仿宋_GB2312"/>
                <w:kern w:val="0"/>
                <w:szCs w:val="21"/>
              </w:rPr>
            </w:pPr>
            <w:r>
              <w:rPr>
                <w:rFonts w:eastAsia="等线"/>
                <w:szCs w:val="21"/>
              </w:rPr>
              <w:t>10505.35</w:t>
            </w:r>
          </w:p>
        </w:tc>
        <w:tc>
          <w:tcPr>
            <w:tcW w:w="658" w:type="pct"/>
            <w:vAlign w:val="center"/>
          </w:tcPr>
          <w:p>
            <w:pPr>
              <w:autoSpaceDE w:val="0"/>
              <w:autoSpaceDN w:val="0"/>
              <w:adjustRightInd w:val="0"/>
              <w:jc w:val="center"/>
              <w:rPr>
                <w:rFonts w:eastAsia="仿宋_GB2312"/>
                <w:kern w:val="0"/>
                <w:szCs w:val="21"/>
              </w:rPr>
            </w:pPr>
            <w:r>
              <w:rPr>
                <w:rFonts w:eastAsia="等线"/>
                <w:szCs w:val="21"/>
              </w:rPr>
              <w:t>10505.35</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continue"/>
            <w:vAlign w:val="center"/>
          </w:tcPr>
          <w:p>
            <w:pPr>
              <w:autoSpaceDE w:val="0"/>
              <w:autoSpaceDN w:val="0"/>
              <w:adjustRightInd w:val="0"/>
              <w:jc w:val="center"/>
              <w:rPr>
                <w:rFonts w:eastAsia="仿宋_GB2312"/>
                <w:kern w:val="0"/>
                <w:szCs w:val="21"/>
              </w:rPr>
            </w:pP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屋顶绿化</w:t>
            </w:r>
          </w:p>
        </w:tc>
        <w:tc>
          <w:tcPr>
            <w:tcW w:w="396" w:type="pct"/>
            <w:vAlign w:val="center"/>
          </w:tcPr>
          <w:p>
            <w:pPr>
              <w:autoSpaceDE w:val="0"/>
              <w:autoSpaceDN w:val="0"/>
              <w:adjustRightInd w:val="0"/>
              <w:jc w:val="center"/>
              <w:rPr>
                <w:kern w:val="0"/>
                <w:sz w:val="20"/>
                <w:szCs w:val="20"/>
              </w:rPr>
            </w:pPr>
            <w:r>
              <w:rPr>
                <w:kern w:val="0"/>
                <w:sz w:val="20"/>
                <w:szCs w:val="20"/>
              </w:rPr>
              <w:t>m</w:t>
            </w:r>
            <w:r>
              <w:rPr>
                <w:kern w:val="0"/>
                <w:sz w:val="20"/>
                <w:szCs w:val="20"/>
                <w:vertAlign w:val="superscript"/>
              </w:rPr>
              <w:t>2</w:t>
            </w:r>
          </w:p>
        </w:tc>
        <w:tc>
          <w:tcPr>
            <w:tcW w:w="658" w:type="pct"/>
            <w:vAlign w:val="center"/>
          </w:tcPr>
          <w:p>
            <w:pPr>
              <w:autoSpaceDE w:val="0"/>
              <w:autoSpaceDN w:val="0"/>
              <w:adjustRightInd w:val="0"/>
              <w:jc w:val="center"/>
              <w:rPr>
                <w:kern w:val="0"/>
                <w:sz w:val="20"/>
                <w:szCs w:val="20"/>
              </w:rPr>
            </w:pPr>
            <w:r>
              <w:rPr>
                <w:rFonts w:eastAsia="等线"/>
                <w:szCs w:val="21"/>
              </w:rPr>
              <w:t>988.76</w:t>
            </w:r>
          </w:p>
        </w:tc>
        <w:tc>
          <w:tcPr>
            <w:tcW w:w="658" w:type="pct"/>
            <w:vAlign w:val="center"/>
          </w:tcPr>
          <w:p>
            <w:pPr>
              <w:autoSpaceDE w:val="0"/>
              <w:autoSpaceDN w:val="0"/>
              <w:adjustRightInd w:val="0"/>
              <w:jc w:val="center"/>
              <w:rPr>
                <w:rFonts w:eastAsia="仿宋_GB2312"/>
                <w:kern w:val="0"/>
                <w:szCs w:val="21"/>
              </w:rPr>
            </w:pPr>
            <w:r>
              <w:rPr>
                <w:rFonts w:eastAsia="等线"/>
                <w:szCs w:val="21"/>
              </w:rPr>
              <w:t>988.76</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restart"/>
            <w:vAlign w:val="center"/>
          </w:tcPr>
          <w:p>
            <w:pPr>
              <w:autoSpaceDE w:val="0"/>
              <w:autoSpaceDN w:val="0"/>
              <w:adjustRightInd w:val="0"/>
              <w:jc w:val="center"/>
              <w:rPr>
                <w:rFonts w:eastAsia="仿宋_GB2312"/>
                <w:kern w:val="0"/>
                <w:szCs w:val="21"/>
              </w:rPr>
            </w:pPr>
            <w:r>
              <w:rPr>
                <w:rFonts w:eastAsia="仿宋_GB2312"/>
                <w:kern w:val="0"/>
                <w:szCs w:val="21"/>
              </w:rPr>
              <w:t>临时措施</w:t>
            </w: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密目网覆盖</w:t>
            </w:r>
          </w:p>
        </w:tc>
        <w:tc>
          <w:tcPr>
            <w:tcW w:w="396" w:type="pct"/>
            <w:vAlign w:val="center"/>
          </w:tcPr>
          <w:p>
            <w:pPr>
              <w:autoSpaceDE w:val="0"/>
              <w:autoSpaceDN w:val="0"/>
              <w:adjustRightInd w:val="0"/>
              <w:jc w:val="center"/>
              <w:rPr>
                <w:rFonts w:eastAsia="仿宋_GB2312"/>
                <w:kern w:val="0"/>
                <w:szCs w:val="21"/>
              </w:rPr>
            </w:pPr>
            <w:r>
              <w:rPr>
                <w:rFonts w:eastAsia="仿宋_GB2312"/>
                <w:kern w:val="0"/>
                <w:szCs w:val="21"/>
              </w:rPr>
              <w:t>m</w:t>
            </w:r>
            <w:r>
              <w:rPr>
                <w:rFonts w:eastAsia="仿宋_GB2312"/>
                <w:kern w:val="0"/>
                <w:szCs w:val="21"/>
                <w:vertAlign w:val="superscript"/>
              </w:rPr>
              <w:t>2</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6500.00</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6500.00</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9" w:type="pct"/>
            <w:vMerge w:val="continue"/>
            <w:vAlign w:val="center"/>
          </w:tcPr>
          <w:p>
            <w:pPr>
              <w:autoSpaceDE w:val="0"/>
              <w:autoSpaceDN w:val="0"/>
              <w:adjustRightInd w:val="0"/>
              <w:jc w:val="center"/>
              <w:rPr>
                <w:rFonts w:eastAsia="仿宋_GB2312"/>
                <w:kern w:val="0"/>
                <w:szCs w:val="21"/>
              </w:rPr>
            </w:pPr>
          </w:p>
        </w:tc>
        <w:tc>
          <w:tcPr>
            <w:tcW w:w="627" w:type="pct"/>
            <w:vMerge w:val="continue"/>
            <w:vAlign w:val="center"/>
          </w:tcPr>
          <w:p>
            <w:pPr>
              <w:autoSpaceDE w:val="0"/>
              <w:autoSpaceDN w:val="0"/>
              <w:adjustRightInd w:val="0"/>
              <w:jc w:val="center"/>
              <w:rPr>
                <w:rFonts w:eastAsia="仿宋_GB2312"/>
                <w:kern w:val="0"/>
                <w:szCs w:val="21"/>
              </w:rPr>
            </w:pPr>
          </w:p>
        </w:tc>
        <w:tc>
          <w:tcPr>
            <w:tcW w:w="834" w:type="pct"/>
            <w:vAlign w:val="center"/>
          </w:tcPr>
          <w:p>
            <w:pPr>
              <w:autoSpaceDE w:val="0"/>
              <w:autoSpaceDN w:val="0"/>
              <w:adjustRightInd w:val="0"/>
              <w:jc w:val="center"/>
              <w:rPr>
                <w:rFonts w:eastAsia="仿宋_GB2312"/>
                <w:kern w:val="0"/>
                <w:szCs w:val="21"/>
              </w:rPr>
            </w:pPr>
            <w:r>
              <w:rPr>
                <w:rFonts w:eastAsia="仿宋_GB2312"/>
                <w:kern w:val="0"/>
                <w:szCs w:val="21"/>
              </w:rPr>
              <w:t>彩条布覆盖</w:t>
            </w:r>
          </w:p>
        </w:tc>
        <w:tc>
          <w:tcPr>
            <w:tcW w:w="396" w:type="pct"/>
            <w:vAlign w:val="center"/>
          </w:tcPr>
          <w:p>
            <w:pPr>
              <w:autoSpaceDE w:val="0"/>
              <w:autoSpaceDN w:val="0"/>
              <w:adjustRightInd w:val="0"/>
              <w:jc w:val="center"/>
              <w:rPr>
                <w:rFonts w:eastAsia="仿宋_GB2312"/>
                <w:kern w:val="0"/>
                <w:szCs w:val="21"/>
              </w:rPr>
            </w:pPr>
            <w:r>
              <w:rPr>
                <w:rFonts w:eastAsia="仿宋_GB2312"/>
                <w:kern w:val="0"/>
                <w:szCs w:val="21"/>
              </w:rPr>
              <w:t>m</w:t>
            </w:r>
            <w:r>
              <w:rPr>
                <w:rFonts w:eastAsia="仿宋_GB2312"/>
                <w:kern w:val="0"/>
                <w:szCs w:val="21"/>
                <w:vertAlign w:val="superscript"/>
              </w:rPr>
              <w:t>2</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40.00</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40.00</w:t>
            </w:r>
          </w:p>
        </w:tc>
        <w:tc>
          <w:tcPr>
            <w:tcW w:w="658" w:type="pct"/>
            <w:vAlign w:val="center"/>
          </w:tcPr>
          <w:p>
            <w:pPr>
              <w:autoSpaceDE w:val="0"/>
              <w:autoSpaceDN w:val="0"/>
              <w:adjustRightInd w:val="0"/>
              <w:jc w:val="center"/>
              <w:rPr>
                <w:rFonts w:eastAsia="仿宋_GB2312"/>
                <w:kern w:val="0"/>
                <w:szCs w:val="21"/>
              </w:rPr>
            </w:pPr>
            <w:r>
              <w:rPr>
                <w:rFonts w:eastAsia="仿宋_GB2312"/>
                <w:kern w:val="0"/>
                <w:szCs w:val="21"/>
              </w:rPr>
              <w:t>0</w:t>
            </w:r>
          </w:p>
        </w:tc>
      </w:tr>
      <w:bookmarkEnd w:id="32"/>
    </w:tbl>
    <w:p>
      <w:pPr>
        <w:autoSpaceDE w:val="0"/>
        <w:autoSpaceDN w:val="0"/>
        <w:adjustRightInd w:val="0"/>
        <w:spacing w:line="360" w:lineRule="auto"/>
        <w:rPr>
          <w:rFonts w:eastAsia="仿宋_GB2312"/>
          <w:kern w:val="0"/>
          <w:sz w:val="24"/>
        </w:rPr>
        <w:sectPr>
          <w:headerReference r:id="rId14" w:type="default"/>
          <w:headerReference r:id="rId15" w:type="even"/>
          <w:pgSz w:w="11906" w:h="16838"/>
          <w:pgMar w:top="1701" w:right="1418" w:bottom="1701" w:left="1418" w:header="851" w:footer="992" w:gutter="0"/>
          <w:cols w:space="720" w:num="1"/>
          <w:docGrid w:linePitch="312" w:charSpace="0"/>
        </w:sectPr>
      </w:pPr>
    </w:p>
    <w:p>
      <w:pPr>
        <w:pStyle w:val="47"/>
        <w:topLinePunct/>
        <w:adjustRightInd w:val="0"/>
        <w:spacing w:before="0" w:after="0" w:line="360" w:lineRule="auto"/>
        <w:jc w:val="both"/>
        <w:rPr>
          <w:rFonts w:eastAsia="仿宋_GB2312"/>
          <w:szCs w:val="36"/>
        </w:rPr>
      </w:pPr>
      <w:bookmarkStart w:id="33" w:name="_Toc134801927"/>
      <w:r>
        <w:rPr>
          <w:rFonts w:eastAsia="仿宋_GB2312"/>
          <w:szCs w:val="36"/>
        </w:rPr>
        <w:t xml:space="preserve">5 </w:t>
      </w:r>
      <w:r>
        <w:rPr>
          <w:rFonts w:eastAsia="仿宋_GB2312"/>
          <w:szCs w:val="36"/>
          <w:lang w:eastAsia="zh-CN"/>
        </w:rPr>
        <w:t>土壤流失情况监测</w:t>
      </w:r>
      <w:bookmarkEnd w:id="33"/>
    </w:p>
    <w:p>
      <w:pPr>
        <w:pStyle w:val="3"/>
        <w:adjustRightInd w:val="0"/>
        <w:spacing w:before="0" w:after="0" w:line="360" w:lineRule="auto"/>
        <w:rPr>
          <w:rFonts w:ascii="Times New Roman" w:hAnsi="Times New Roman" w:eastAsia="仿宋_GB2312"/>
          <w:bCs w:val="0"/>
          <w:sz w:val="28"/>
          <w:szCs w:val="28"/>
        </w:rPr>
      </w:pPr>
      <w:bookmarkStart w:id="34" w:name="_Toc134801928"/>
      <w:r>
        <w:rPr>
          <w:rFonts w:ascii="Times New Roman" w:hAnsi="Times New Roman" w:eastAsia="仿宋_GB2312"/>
          <w:bCs w:val="0"/>
          <w:sz w:val="28"/>
          <w:szCs w:val="28"/>
        </w:rPr>
        <w:t>5.1 水土</w:t>
      </w:r>
      <w:r>
        <w:rPr>
          <w:rFonts w:ascii="Times New Roman" w:hAnsi="Times New Roman" w:eastAsia="仿宋_GB2312"/>
          <w:bCs w:val="0"/>
          <w:sz w:val="28"/>
          <w:szCs w:val="28"/>
          <w:lang w:eastAsia="zh-CN"/>
        </w:rPr>
        <w:t>流失面积</w:t>
      </w:r>
      <w:bookmarkEnd w:id="34"/>
    </w:p>
    <w:p>
      <w:pPr>
        <w:autoSpaceDE w:val="0"/>
        <w:autoSpaceDN w:val="0"/>
        <w:adjustRightInd w:val="0"/>
        <w:spacing w:line="360" w:lineRule="auto"/>
        <w:ind w:firstLine="480" w:firstLineChars="200"/>
        <w:rPr>
          <w:rFonts w:eastAsia="仿宋_GB2312"/>
          <w:kern w:val="0"/>
          <w:sz w:val="24"/>
        </w:rPr>
      </w:pPr>
      <w:r>
        <w:rPr>
          <w:rFonts w:hint="eastAsia" w:eastAsia="仿宋_GB2312"/>
          <w:kern w:val="0"/>
          <w:sz w:val="24"/>
        </w:rPr>
        <w:t>从收集的工程施工组织设计及监理资料分析并根据实地调查</w:t>
      </w:r>
      <w:r>
        <w:rPr>
          <w:rFonts w:eastAsia="仿宋_GB2312"/>
          <w:kern w:val="0"/>
          <w:sz w:val="24"/>
        </w:rPr>
        <w:t>，项目建设区硬化区域无水土流失，所有区域绿化区域水土流失均降至微度侵蚀，无明显流失区域。</w:t>
      </w:r>
    </w:p>
    <w:p>
      <w:pPr>
        <w:pStyle w:val="3"/>
        <w:adjustRightInd w:val="0"/>
        <w:spacing w:before="0" w:after="0" w:line="360" w:lineRule="auto"/>
        <w:rPr>
          <w:rFonts w:ascii="Times New Roman" w:hAnsi="Times New Roman" w:eastAsia="仿宋_GB2312"/>
          <w:bCs w:val="0"/>
          <w:sz w:val="28"/>
          <w:szCs w:val="28"/>
        </w:rPr>
      </w:pPr>
      <w:bookmarkStart w:id="35" w:name="_Toc134801929"/>
      <w:r>
        <w:rPr>
          <w:rFonts w:ascii="Times New Roman" w:hAnsi="Times New Roman" w:eastAsia="仿宋_GB2312"/>
          <w:bCs w:val="0"/>
          <w:sz w:val="28"/>
          <w:szCs w:val="28"/>
        </w:rPr>
        <w:t xml:space="preserve">5.2 </w:t>
      </w:r>
      <w:r>
        <w:rPr>
          <w:rFonts w:ascii="Times New Roman" w:hAnsi="Times New Roman" w:eastAsia="仿宋_GB2312"/>
          <w:bCs w:val="0"/>
          <w:sz w:val="28"/>
          <w:szCs w:val="28"/>
          <w:lang w:eastAsia="zh-CN"/>
        </w:rPr>
        <w:t>土壤流失量</w:t>
      </w:r>
      <w:bookmarkEnd w:id="35"/>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项目建设区硬化区域无土壤流失，所有区域绿化区域土壤流失均降至微度侵蚀，土壤流失量忽略不计。</w:t>
      </w:r>
    </w:p>
    <w:p>
      <w:pPr>
        <w:pStyle w:val="3"/>
        <w:adjustRightInd w:val="0"/>
        <w:spacing w:before="0" w:after="0" w:line="360" w:lineRule="auto"/>
        <w:rPr>
          <w:rFonts w:ascii="Times New Roman" w:hAnsi="Times New Roman" w:eastAsia="仿宋_GB2312"/>
          <w:bCs w:val="0"/>
          <w:sz w:val="28"/>
          <w:szCs w:val="28"/>
        </w:rPr>
      </w:pPr>
      <w:bookmarkStart w:id="36" w:name="_Toc134801930"/>
      <w:r>
        <w:rPr>
          <w:rFonts w:ascii="Times New Roman" w:hAnsi="Times New Roman" w:eastAsia="仿宋_GB2312"/>
          <w:bCs w:val="0"/>
          <w:sz w:val="28"/>
          <w:szCs w:val="28"/>
        </w:rPr>
        <w:t xml:space="preserve">5.3 </w:t>
      </w:r>
      <w:r>
        <w:rPr>
          <w:rFonts w:ascii="Times New Roman" w:hAnsi="Times New Roman" w:eastAsia="仿宋_GB2312"/>
          <w:bCs w:val="0"/>
          <w:sz w:val="28"/>
          <w:szCs w:val="28"/>
          <w:lang w:eastAsia="zh-CN"/>
        </w:rPr>
        <w:t>取土（石、料）弃土（石、渣）潜在土壤流失量</w:t>
      </w:r>
      <w:bookmarkEnd w:id="36"/>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经巡查监测和走访调查，没有因人为因素而造成对主体工程、人员、交通、村庄、河流、耕地等有较大负面影响的水土流失危害（如滑坡、泥石流、大面积崩塌、堵塞河流、冲毁交通路线和村庄耕地等）。本项目未设置专门的取土（石、料）弃土（石、渣）场，弃方全部运至</w:t>
      </w:r>
      <w:r>
        <w:rPr>
          <w:rFonts w:eastAsia="仿宋_GB2312"/>
          <w:sz w:val="24"/>
          <w:szCs w:val="28"/>
        </w:rPr>
        <w:t>经开区峡口镇土石方消纳场处置</w:t>
      </w:r>
      <w:r>
        <w:rPr>
          <w:rFonts w:eastAsia="仿宋_GB2312"/>
          <w:kern w:val="0"/>
          <w:sz w:val="24"/>
        </w:rPr>
        <w:t>，本项目不存在潜在的土壤流失。</w:t>
      </w:r>
    </w:p>
    <w:p>
      <w:pPr>
        <w:pStyle w:val="3"/>
        <w:adjustRightInd w:val="0"/>
        <w:spacing w:before="0" w:after="0" w:line="360" w:lineRule="auto"/>
        <w:rPr>
          <w:rFonts w:ascii="Times New Roman" w:hAnsi="Times New Roman" w:eastAsia="仿宋_GB2312"/>
          <w:bCs w:val="0"/>
          <w:sz w:val="28"/>
          <w:szCs w:val="28"/>
        </w:rPr>
      </w:pPr>
      <w:bookmarkStart w:id="37" w:name="_Toc134801931"/>
      <w:r>
        <w:rPr>
          <w:rFonts w:ascii="Times New Roman" w:hAnsi="Times New Roman" w:eastAsia="仿宋_GB2312"/>
          <w:bCs w:val="0"/>
          <w:sz w:val="28"/>
          <w:szCs w:val="28"/>
        </w:rPr>
        <w:t xml:space="preserve">5.4 </w:t>
      </w:r>
      <w:r>
        <w:rPr>
          <w:rFonts w:ascii="Times New Roman" w:hAnsi="Times New Roman" w:eastAsia="仿宋_GB2312"/>
          <w:bCs w:val="0"/>
          <w:sz w:val="28"/>
          <w:szCs w:val="28"/>
          <w:lang w:eastAsia="zh-CN"/>
        </w:rPr>
        <w:t>水土流失危害</w:t>
      </w:r>
      <w:bookmarkEnd w:id="37"/>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本项目施工期因工程建设可能产生的水土流失危害，主要经现场监测、调查及查阅资料其危害迹象并寻访当地居民进行分析得出。经分析，得出如下结论：</w:t>
      </w:r>
    </w:p>
    <w:p>
      <w:pPr>
        <w:pStyle w:val="63"/>
        <w:numPr>
          <w:ilvl w:val="0"/>
          <w:numId w:val="15"/>
        </w:numPr>
        <w:autoSpaceDE w:val="0"/>
        <w:autoSpaceDN w:val="0"/>
        <w:adjustRightInd w:val="0"/>
        <w:spacing w:line="360" w:lineRule="auto"/>
        <w:ind w:hanging="1096" w:firstLineChars="0"/>
        <w:rPr>
          <w:kern w:val="0"/>
        </w:rPr>
      </w:pPr>
      <w:r>
        <w:rPr>
          <w:kern w:val="0"/>
        </w:rPr>
        <w:t>影响周边生态环境监测结果</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项目建设可能直接影响的周边区域主要为项目建设场地周边区域，经全面巡查及询问施工人员、当地居民等，项目建设及生产运行没有对周边生态环境造成明显影响。</w:t>
      </w:r>
    </w:p>
    <w:p>
      <w:pPr>
        <w:pStyle w:val="63"/>
        <w:numPr>
          <w:ilvl w:val="0"/>
          <w:numId w:val="15"/>
        </w:numPr>
        <w:autoSpaceDE w:val="0"/>
        <w:autoSpaceDN w:val="0"/>
        <w:adjustRightInd w:val="0"/>
        <w:spacing w:line="360" w:lineRule="auto"/>
        <w:ind w:hanging="1096" w:firstLineChars="0"/>
        <w:rPr>
          <w:kern w:val="0"/>
        </w:rPr>
      </w:pPr>
      <w:r>
        <w:rPr>
          <w:kern w:val="0"/>
        </w:rPr>
        <w:t>其他水土流失危害监测结果</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经全面巡查记录，结合寻访当地居民分析，工程施工期间没有造成其他的水土流失危害。</w:t>
      </w:r>
    </w:p>
    <w:p>
      <w:pPr>
        <w:autoSpaceDE w:val="0"/>
        <w:autoSpaceDN w:val="0"/>
        <w:adjustRightInd w:val="0"/>
        <w:spacing w:line="360" w:lineRule="auto"/>
        <w:ind w:firstLine="480" w:firstLineChars="200"/>
        <w:rPr>
          <w:rFonts w:eastAsia="仿宋_GB2312"/>
          <w:kern w:val="0"/>
          <w:sz w:val="24"/>
        </w:rPr>
        <w:sectPr>
          <w:headerReference r:id="rId16" w:type="default"/>
          <w:headerReference r:id="rId17" w:type="even"/>
          <w:pgSz w:w="11906" w:h="16838"/>
          <w:pgMar w:top="1701" w:right="1418" w:bottom="1701" w:left="1418" w:header="851" w:footer="992" w:gutter="0"/>
          <w:cols w:space="720" w:num="1"/>
          <w:docGrid w:linePitch="312" w:charSpace="0"/>
        </w:sectPr>
      </w:pPr>
      <w:r>
        <w:rPr>
          <w:rFonts w:eastAsia="仿宋_GB2312"/>
          <w:kern w:val="0"/>
          <w:sz w:val="24"/>
        </w:rPr>
        <w:t>综上所述，本项目建设期间，因工程建设产生的水土流失得到了较好的控制，没有对项目建设区周边河道、生态环境造成明显的水土流失危害。</w:t>
      </w:r>
    </w:p>
    <w:p>
      <w:pPr>
        <w:pStyle w:val="47"/>
        <w:topLinePunct/>
        <w:adjustRightInd w:val="0"/>
        <w:spacing w:before="0" w:after="0" w:line="360" w:lineRule="auto"/>
        <w:jc w:val="both"/>
        <w:rPr>
          <w:rFonts w:eastAsia="仿宋_GB2312"/>
          <w:szCs w:val="36"/>
          <w:lang w:eastAsia="zh-CN"/>
        </w:rPr>
      </w:pPr>
      <w:bookmarkStart w:id="38" w:name="_Toc134801932"/>
      <w:r>
        <w:rPr>
          <w:rFonts w:eastAsia="仿宋_GB2312"/>
          <w:szCs w:val="36"/>
        </w:rPr>
        <w:t xml:space="preserve">6 </w:t>
      </w:r>
      <w:r>
        <w:rPr>
          <w:rFonts w:eastAsia="仿宋_GB2312"/>
          <w:szCs w:val="36"/>
          <w:lang w:eastAsia="zh-CN"/>
        </w:rPr>
        <w:t>水土流失防治效果监测结果</w:t>
      </w:r>
      <w:bookmarkEnd w:id="38"/>
    </w:p>
    <w:p>
      <w:pPr>
        <w:pStyle w:val="3"/>
        <w:adjustRightInd w:val="0"/>
        <w:spacing w:before="0" w:after="0" w:line="360" w:lineRule="auto"/>
        <w:rPr>
          <w:rFonts w:ascii="Times New Roman" w:hAnsi="Times New Roman" w:eastAsia="仿宋_GB2312"/>
          <w:bCs w:val="0"/>
          <w:sz w:val="28"/>
          <w:szCs w:val="28"/>
        </w:rPr>
      </w:pPr>
      <w:bookmarkStart w:id="39" w:name="_Toc134801933"/>
      <w:r>
        <w:rPr>
          <w:rFonts w:ascii="Times New Roman" w:hAnsi="Times New Roman" w:eastAsia="仿宋_GB2312"/>
          <w:bCs w:val="0"/>
          <w:sz w:val="28"/>
          <w:szCs w:val="28"/>
        </w:rPr>
        <w:t xml:space="preserve">6.1 </w:t>
      </w:r>
      <w:r>
        <w:rPr>
          <w:rFonts w:ascii="Times New Roman" w:hAnsi="Times New Roman" w:eastAsia="仿宋_GB2312"/>
          <w:bCs w:val="0"/>
          <w:sz w:val="28"/>
          <w:szCs w:val="28"/>
          <w:lang w:eastAsia="zh-CN"/>
        </w:rPr>
        <w:t>水土流失治理度</w:t>
      </w:r>
      <w:bookmarkEnd w:id="39"/>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水土流失治理度指项目建设区内水土流失治理达标面积占水土流失总面积的百分比。水土流失治理达标面积是指在水土流失总面积中实施的水土保持措施已初步发挥作用的面积，各项措施的防治面积均以投影面积计。</w:t>
      </w:r>
      <w:r>
        <w:rPr>
          <w:rFonts w:eastAsia="仿宋_GB2312"/>
          <w:sz w:val="24"/>
        </w:rPr>
        <w:t>本项目临建设施将移交给建设单位另一</w:t>
      </w:r>
      <w:r>
        <w:rPr>
          <w:rFonts w:hint="eastAsia" w:eastAsia="仿宋_GB2312"/>
          <w:sz w:val="24"/>
        </w:rPr>
        <w:t>道路</w:t>
      </w:r>
      <w:r>
        <w:rPr>
          <w:rFonts w:eastAsia="仿宋_GB2312"/>
          <w:sz w:val="24"/>
        </w:rPr>
        <w:t>建设项目“茶园支十五路道路及配套工程”使用，且此临建设施区域将纳入道路工程验收</w:t>
      </w:r>
      <w:r>
        <w:rPr>
          <w:rFonts w:hint="eastAsia" w:eastAsia="仿宋_GB2312"/>
          <w:sz w:val="24"/>
        </w:rPr>
        <w:t>，因此，临建设施占地（施工生产生活区）不纳入本次监测，仅对建设单位进行督促，在道路建设项目完工后严格实施水土保持方案设计的水土保持措施，落实该区域的水土流失防治工作。</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工程扰动地表面积6.37hm</w:t>
      </w:r>
      <w:r>
        <w:rPr>
          <w:rFonts w:eastAsia="仿宋_GB2312"/>
          <w:kern w:val="0"/>
          <w:sz w:val="24"/>
          <w:vertAlign w:val="superscript"/>
        </w:rPr>
        <w:t>2</w:t>
      </w:r>
      <w:r>
        <w:rPr>
          <w:rFonts w:hint="eastAsia" w:eastAsia="仿宋_GB2312"/>
          <w:kern w:val="0"/>
          <w:sz w:val="24"/>
        </w:rPr>
        <w:t>，</w:t>
      </w:r>
      <w:r>
        <w:rPr>
          <w:rFonts w:eastAsia="仿宋_GB2312"/>
          <w:kern w:val="0"/>
          <w:sz w:val="24"/>
        </w:rPr>
        <w:t>扣除项目区的硬化面积5.22hm</w:t>
      </w:r>
      <w:r>
        <w:rPr>
          <w:rFonts w:eastAsia="仿宋_GB2312"/>
          <w:kern w:val="0"/>
          <w:sz w:val="24"/>
          <w:vertAlign w:val="superscript"/>
        </w:rPr>
        <w:t>2</w:t>
      </w:r>
      <w:r>
        <w:rPr>
          <w:rFonts w:eastAsia="仿宋_GB2312"/>
          <w:kern w:val="0"/>
          <w:sz w:val="24"/>
        </w:rPr>
        <w:t>，水土流失面积为1.15m</w:t>
      </w:r>
      <w:r>
        <w:rPr>
          <w:rFonts w:eastAsia="仿宋_GB2312"/>
          <w:kern w:val="0"/>
          <w:sz w:val="24"/>
          <w:vertAlign w:val="superscript"/>
        </w:rPr>
        <w:t>2</w:t>
      </w:r>
      <w:r>
        <w:rPr>
          <w:rFonts w:eastAsia="仿宋_GB2312"/>
          <w:kern w:val="0"/>
          <w:sz w:val="24"/>
        </w:rPr>
        <w:t>。项目采取了水土保持植物措施防治面积1.15hm</w:t>
      </w:r>
      <w:r>
        <w:rPr>
          <w:rFonts w:eastAsia="仿宋_GB2312"/>
          <w:kern w:val="0"/>
          <w:sz w:val="24"/>
          <w:vertAlign w:val="superscript"/>
        </w:rPr>
        <w:t>2</w:t>
      </w:r>
      <w:r>
        <w:rPr>
          <w:rFonts w:eastAsia="仿宋_GB2312"/>
          <w:kern w:val="0"/>
          <w:sz w:val="24"/>
        </w:rPr>
        <w:t>，则项目区水土流失治理度达到100%</w:t>
      </w:r>
      <w:r>
        <w:rPr>
          <w:rFonts w:hint="eastAsia" w:eastAsia="仿宋_GB2312"/>
          <w:kern w:val="0"/>
          <w:sz w:val="24"/>
        </w:rPr>
        <w:t>。</w:t>
      </w:r>
    </w:p>
    <w:p>
      <w:pPr>
        <w:pStyle w:val="3"/>
        <w:adjustRightInd w:val="0"/>
        <w:spacing w:before="0" w:after="0" w:line="360" w:lineRule="auto"/>
        <w:rPr>
          <w:rFonts w:ascii="Times New Roman" w:hAnsi="Times New Roman" w:eastAsia="仿宋_GB2312"/>
          <w:bCs w:val="0"/>
          <w:sz w:val="28"/>
          <w:szCs w:val="28"/>
        </w:rPr>
      </w:pPr>
      <w:bookmarkStart w:id="40" w:name="_Toc134801934"/>
      <w:r>
        <w:rPr>
          <w:rFonts w:ascii="Times New Roman" w:hAnsi="Times New Roman" w:eastAsia="仿宋_GB2312"/>
          <w:bCs w:val="0"/>
          <w:sz w:val="28"/>
          <w:szCs w:val="28"/>
        </w:rPr>
        <w:t>6.</w:t>
      </w:r>
      <w:r>
        <w:rPr>
          <w:rFonts w:ascii="Times New Roman" w:hAnsi="Times New Roman" w:eastAsia="仿宋_GB2312"/>
          <w:bCs w:val="0"/>
          <w:sz w:val="28"/>
          <w:szCs w:val="28"/>
          <w:lang w:eastAsia="zh-CN"/>
        </w:rPr>
        <w:t>2</w:t>
      </w:r>
      <w:r>
        <w:rPr>
          <w:rFonts w:ascii="Times New Roman" w:hAnsi="Times New Roman" w:eastAsia="仿宋_GB2312"/>
          <w:bCs w:val="0"/>
          <w:sz w:val="28"/>
          <w:szCs w:val="28"/>
        </w:rPr>
        <w:t xml:space="preserve"> </w:t>
      </w:r>
      <w:r>
        <w:rPr>
          <w:rFonts w:ascii="Times New Roman" w:hAnsi="Times New Roman" w:eastAsia="仿宋_GB2312"/>
          <w:bCs w:val="0"/>
          <w:sz w:val="28"/>
          <w:szCs w:val="28"/>
          <w:lang w:eastAsia="zh-CN"/>
        </w:rPr>
        <w:t>土壤流失控制比</w:t>
      </w:r>
      <w:bookmarkEnd w:id="40"/>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土壤流失控制比是指在项目建设区内容许土壤流失量与治理后的平均土壤流失强度之比。</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现阶段林草已恢复，项目区平均侵蚀模数低于500t/（km</w:t>
      </w:r>
      <w:r>
        <w:rPr>
          <w:rFonts w:eastAsia="仿宋_GB2312"/>
          <w:kern w:val="0"/>
          <w:sz w:val="24"/>
          <w:vertAlign w:val="superscript"/>
        </w:rPr>
        <w:t>2</w:t>
      </w:r>
      <w:r>
        <w:rPr>
          <w:rFonts w:eastAsia="仿宋"/>
          <w:kern w:val="0"/>
          <w:sz w:val="24"/>
        </w:rPr>
        <w:t>·</w:t>
      </w:r>
      <w:r>
        <w:rPr>
          <w:rFonts w:eastAsia="仿宋_GB2312"/>
          <w:kern w:val="0"/>
          <w:sz w:val="24"/>
        </w:rPr>
        <w:t>a），容许土壤流失量为500t/（km</w:t>
      </w:r>
      <w:r>
        <w:rPr>
          <w:rFonts w:eastAsia="仿宋_GB2312"/>
          <w:kern w:val="0"/>
          <w:sz w:val="24"/>
          <w:vertAlign w:val="superscript"/>
        </w:rPr>
        <w:t>2</w:t>
      </w:r>
      <w:r>
        <w:rPr>
          <w:rFonts w:eastAsia="仿宋"/>
          <w:kern w:val="0"/>
          <w:sz w:val="24"/>
        </w:rPr>
        <w:t>·</w:t>
      </w:r>
      <w:r>
        <w:rPr>
          <w:rFonts w:eastAsia="仿宋_GB2312"/>
          <w:kern w:val="0"/>
          <w:sz w:val="24"/>
        </w:rPr>
        <w:t>a），则土壤流失控制比为1.0。</w:t>
      </w:r>
    </w:p>
    <w:p>
      <w:pPr>
        <w:pStyle w:val="3"/>
        <w:adjustRightInd w:val="0"/>
        <w:spacing w:before="0" w:after="0" w:line="360" w:lineRule="auto"/>
        <w:rPr>
          <w:rFonts w:ascii="Times New Roman" w:hAnsi="Times New Roman" w:eastAsia="仿宋_GB2312"/>
          <w:bCs w:val="0"/>
          <w:sz w:val="28"/>
          <w:szCs w:val="28"/>
        </w:rPr>
      </w:pPr>
      <w:bookmarkStart w:id="41" w:name="_Toc134801935"/>
      <w:r>
        <w:rPr>
          <w:rFonts w:ascii="Times New Roman" w:hAnsi="Times New Roman" w:eastAsia="仿宋_GB2312"/>
          <w:bCs w:val="0"/>
          <w:sz w:val="28"/>
          <w:szCs w:val="28"/>
        </w:rPr>
        <w:t xml:space="preserve">6.3 </w:t>
      </w:r>
      <w:r>
        <w:rPr>
          <w:rFonts w:ascii="Times New Roman" w:hAnsi="Times New Roman" w:eastAsia="仿宋_GB2312"/>
          <w:bCs w:val="0"/>
          <w:sz w:val="28"/>
          <w:szCs w:val="28"/>
          <w:lang w:eastAsia="zh-CN"/>
        </w:rPr>
        <w:t>渣土防护率</w:t>
      </w:r>
      <w:bookmarkEnd w:id="41"/>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渣土防护率指项目防治责任范围内采取措施实际挡护的永久弃渣、临时堆土数量占永久弃渣和临时堆土总量的百分比。</w:t>
      </w:r>
    </w:p>
    <w:p>
      <w:pPr>
        <w:autoSpaceDE w:val="0"/>
        <w:autoSpaceDN w:val="0"/>
        <w:adjustRightInd w:val="0"/>
        <w:spacing w:line="360" w:lineRule="auto"/>
        <w:ind w:firstLine="480" w:firstLineChars="200"/>
        <w:rPr>
          <w:rFonts w:eastAsia="仿宋_GB2312"/>
          <w:kern w:val="0"/>
          <w:sz w:val="24"/>
        </w:rPr>
      </w:pPr>
      <w:bookmarkStart w:id="42" w:name="_Hlk83197207"/>
      <w:r>
        <w:rPr>
          <w:rFonts w:eastAsia="仿宋_GB2312"/>
          <w:sz w:val="24"/>
        </w:rPr>
        <w:t>通过查阅本工程施工区历史影像资料可知，本工程建设期产生的临时堆土量已经全部用于工程回填，本工程渣土防护率为100%</w:t>
      </w:r>
      <w:bookmarkEnd w:id="42"/>
      <w:r>
        <w:rPr>
          <w:rFonts w:eastAsia="仿宋_GB2312"/>
          <w:sz w:val="24"/>
        </w:rPr>
        <w:t>。</w:t>
      </w:r>
    </w:p>
    <w:p>
      <w:pPr>
        <w:pStyle w:val="3"/>
        <w:adjustRightInd w:val="0"/>
        <w:spacing w:before="0" w:after="0" w:line="360" w:lineRule="auto"/>
        <w:rPr>
          <w:rFonts w:ascii="Times New Roman" w:hAnsi="Times New Roman" w:eastAsia="仿宋_GB2312"/>
          <w:bCs w:val="0"/>
          <w:sz w:val="28"/>
          <w:szCs w:val="28"/>
        </w:rPr>
      </w:pPr>
      <w:bookmarkStart w:id="43" w:name="_Toc134801936"/>
      <w:r>
        <w:rPr>
          <w:rFonts w:ascii="Times New Roman" w:hAnsi="Times New Roman" w:eastAsia="仿宋_GB2312"/>
          <w:bCs w:val="0"/>
          <w:sz w:val="28"/>
          <w:szCs w:val="28"/>
        </w:rPr>
        <w:t xml:space="preserve">6.4 </w:t>
      </w:r>
      <w:r>
        <w:rPr>
          <w:rFonts w:ascii="Times New Roman" w:hAnsi="Times New Roman" w:eastAsia="仿宋_GB2312"/>
          <w:bCs w:val="0"/>
          <w:sz w:val="28"/>
          <w:szCs w:val="28"/>
          <w:lang w:eastAsia="zh-CN"/>
        </w:rPr>
        <w:t>表土保护率</w:t>
      </w:r>
      <w:bookmarkEnd w:id="43"/>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表土保护率指水土流失防治责任范围内保护的表土量占可剥离表土总量的百分比。</w:t>
      </w:r>
    </w:p>
    <w:p>
      <w:pPr>
        <w:autoSpaceDE w:val="0"/>
        <w:autoSpaceDN w:val="0"/>
        <w:adjustRightInd w:val="0"/>
        <w:spacing w:line="360" w:lineRule="auto"/>
        <w:ind w:firstLine="480" w:firstLineChars="200"/>
        <w:rPr>
          <w:rFonts w:eastAsia="仿宋_GB2312"/>
          <w:kern w:val="0"/>
          <w:sz w:val="24"/>
        </w:rPr>
      </w:pPr>
      <w:bookmarkStart w:id="44" w:name="_Hlk83197000"/>
      <w:r>
        <w:rPr>
          <w:rFonts w:eastAsia="仿宋_GB2312"/>
          <w:kern w:val="0"/>
          <w:sz w:val="24"/>
        </w:rPr>
        <w:t>本项目水土保持方案介入时项目</w:t>
      </w:r>
      <w:r>
        <w:rPr>
          <w:rFonts w:eastAsia="仿宋_GB2312"/>
          <w:sz w:val="24"/>
        </w:rPr>
        <w:t>未进行表土剥离，方案介入时场地内无可剥离表土，故不涉及表土保护率</w:t>
      </w:r>
      <w:r>
        <w:rPr>
          <w:rFonts w:eastAsia="仿宋_GB2312"/>
          <w:kern w:val="0"/>
          <w:sz w:val="24"/>
        </w:rPr>
        <w:t>。</w:t>
      </w:r>
    </w:p>
    <w:bookmarkEnd w:id="44"/>
    <w:p>
      <w:pPr>
        <w:pStyle w:val="3"/>
        <w:adjustRightInd w:val="0"/>
        <w:spacing w:before="0" w:after="0" w:line="360" w:lineRule="auto"/>
        <w:rPr>
          <w:rFonts w:ascii="Times New Roman" w:hAnsi="Times New Roman" w:eastAsia="仿宋_GB2312"/>
          <w:bCs w:val="0"/>
          <w:sz w:val="28"/>
          <w:szCs w:val="28"/>
        </w:rPr>
      </w:pPr>
      <w:bookmarkStart w:id="45" w:name="_Toc134801937"/>
      <w:r>
        <w:rPr>
          <w:rFonts w:ascii="Times New Roman" w:hAnsi="Times New Roman" w:eastAsia="仿宋_GB2312"/>
          <w:bCs w:val="0"/>
          <w:sz w:val="28"/>
          <w:szCs w:val="28"/>
        </w:rPr>
        <w:t>6.</w:t>
      </w:r>
      <w:r>
        <w:rPr>
          <w:rFonts w:ascii="Times New Roman" w:hAnsi="Times New Roman" w:eastAsia="仿宋_GB2312"/>
          <w:bCs w:val="0"/>
          <w:sz w:val="28"/>
          <w:szCs w:val="28"/>
          <w:lang w:eastAsia="zh-CN"/>
        </w:rPr>
        <w:t>5</w:t>
      </w:r>
      <w:r>
        <w:rPr>
          <w:rFonts w:ascii="Times New Roman" w:hAnsi="Times New Roman" w:eastAsia="仿宋_GB2312"/>
          <w:bCs w:val="0"/>
          <w:sz w:val="28"/>
          <w:szCs w:val="28"/>
        </w:rPr>
        <w:t xml:space="preserve"> </w:t>
      </w:r>
      <w:r>
        <w:rPr>
          <w:rFonts w:ascii="Times New Roman" w:hAnsi="Times New Roman" w:eastAsia="仿宋_GB2312"/>
          <w:bCs w:val="0"/>
          <w:sz w:val="28"/>
          <w:szCs w:val="28"/>
          <w:lang w:eastAsia="zh-CN"/>
        </w:rPr>
        <w:t>林草植被恢复率</w:t>
      </w:r>
      <w:bookmarkEnd w:id="45"/>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林草植被恢复率指项目建设区内，林草类植被面积占可恢复林草植被（在目前经济、技术条件下适宜于恢复林草植被）面积的百分比。</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项目扰动地表面积共计6.37hm</w:t>
      </w:r>
      <w:r>
        <w:rPr>
          <w:rFonts w:eastAsia="仿宋_GB2312"/>
          <w:kern w:val="0"/>
          <w:sz w:val="24"/>
          <w:vertAlign w:val="superscript"/>
        </w:rPr>
        <w:t>2</w:t>
      </w:r>
      <w:r>
        <w:rPr>
          <w:rFonts w:eastAsia="仿宋"/>
          <w:kern w:val="0"/>
          <w:sz w:val="24"/>
        </w:rPr>
        <w:t>，</w:t>
      </w:r>
      <w:r>
        <w:rPr>
          <w:rFonts w:hint="eastAsia" w:eastAsia="仿宋_GB2312"/>
          <w:kern w:val="0"/>
          <w:sz w:val="24"/>
        </w:rPr>
        <w:t>除去已</w:t>
      </w:r>
      <w:r>
        <w:rPr>
          <w:rFonts w:eastAsia="仿宋_GB2312"/>
          <w:kern w:val="0"/>
          <w:sz w:val="24"/>
        </w:rPr>
        <w:t>硬化</w:t>
      </w:r>
      <w:r>
        <w:rPr>
          <w:rFonts w:hint="eastAsia" w:eastAsia="仿宋_GB2312"/>
          <w:kern w:val="0"/>
          <w:sz w:val="24"/>
        </w:rPr>
        <w:t>区域</w:t>
      </w:r>
      <w:r>
        <w:rPr>
          <w:rFonts w:eastAsia="仿宋_GB2312"/>
          <w:kern w:val="0"/>
          <w:sz w:val="24"/>
        </w:rPr>
        <w:t>还有1.15hm</w:t>
      </w:r>
      <w:r>
        <w:rPr>
          <w:rFonts w:eastAsia="仿宋_GB2312"/>
          <w:kern w:val="0"/>
          <w:sz w:val="24"/>
          <w:vertAlign w:val="superscript"/>
        </w:rPr>
        <w:t>2</w:t>
      </w:r>
      <w:r>
        <w:rPr>
          <w:rFonts w:eastAsia="仿宋_GB2312"/>
          <w:kern w:val="0"/>
          <w:sz w:val="24"/>
        </w:rPr>
        <w:t>土地可以绿化，实际采取植物措施恢复面积为1.15hm</w:t>
      </w:r>
      <w:r>
        <w:rPr>
          <w:rFonts w:eastAsia="仿宋_GB2312"/>
          <w:kern w:val="0"/>
          <w:sz w:val="24"/>
          <w:vertAlign w:val="superscript"/>
        </w:rPr>
        <w:t>2</w:t>
      </w:r>
      <w:r>
        <w:rPr>
          <w:rFonts w:eastAsia="仿宋_GB2312"/>
          <w:kern w:val="0"/>
          <w:sz w:val="24"/>
        </w:rPr>
        <w:t>，林草植被恢复率达到100</w:t>
      </w:r>
      <w:r>
        <w:rPr>
          <w:rFonts w:eastAsia="仿宋_GB2312"/>
          <w:sz w:val="24"/>
        </w:rPr>
        <w:t>%</w:t>
      </w:r>
      <w:r>
        <w:rPr>
          <w:rFonts w:eastAsia="仿宋_GB2312"/>
          <w:kern w:val="0"/>
          <w:sz w:val="24"/>
        </w:rPr>
        <w:t>。</w:t>
      </w:r>
    </w:p>
    <w:p>
      <w:pPr>
        <w:pStyle w:val="3"/>
        <w:adjustRightInd w:val="0"/>
        <w:spacing w:before="0" w:after="0" w:line="360" w:lineRule="auto"/>
        <w:rPr>
          <w:rFonts w:ascii="Times New Roman" w:hAnsi="Times New Roman" w:eastAsia="仿宋_GB2312"/>
          <w:bCs w:val="0"/>
          <w:sz w:val="28"/>
          <w:szCs w:val="28"/>
        </w:rPr>
      </w:pPr>
      <w:bookmarkStart w:id="46" w:name="_Toc134801938"/>
      <w:r>
        <w:rPr>
          <w:rFonts w:ascii="Times New Roman" w:hAnsi="Times New Roman" w:eastAsia="仿宋_GB2312"/>
          <w:bCs w:val="0"/>
          <w:sz w:val="28"/>
          <w:szCs w:val="28"/>
        </w:rPr>
        <w:t>6.6 林草覆盖率</w:t>
      </w:r>
      <w:bookmarkEnd w:id="46"/>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项目</w:t>
      </w:r>
      <w:r>
        <w:rPr>
          <w:rFonts w:hint="eastAsia" w:eastAsia="仿宋_GB2312"/>
          <w:kern w:val="0"/>
          <w:sz w:val="24"/>
        </w:rPr>
        <w:t>扰动面积为</w:t>
      </w:r>
      <w:r>
        <w:rPr>
          <w:rFonts w:eastAsia="仿宋_GB2312"/>
          <w:kern w:val="0"/>
          <w:sz w:val="24"/>
        </w:rPr>
        <w:t>6.37hm</w:t>
      </w:r>
      <w:r>
        <w:rPr>
          <w:rFonts w:eastAsia="仿宋_GB2312"/>
          <w:kern w:val="0"/>
          <w:sz w:val="24"/>
          <w:vertAlign w:val="superscript"/>
        </w:rPr>
        <w:t>2</w:t>
      </w:r>
      <w:r>
        <w:rPr>
          <w:rFonts w:eastAsia="仿宋"/>
          <w:kern w:val="0"/>
          <w:sz w:val="24"/>
        </w:rPr>
        <w:t>，</w:t>
      </w:r>
      <w:r>
        <w:rPr>
          <w:rFonts w:eastAsia="仿宋_GB2312"/>
          <w:kern w:val="0"/>
          <w:sz w:val="24"/>
        </w:rPr>
        <w:t>绿化面积为1.15hm</w:t>
      </w:r>
      <w:r>
        <w:rPr>
          <w:rFonts w:eastAsia="仿宋_GB2312"/>
          <w:kern w:val="0"/>
          <w:sz w:val="24"/>
          <w:vertAlign w:val="superscript"/>
        </w:rPr>
        <w:t>2</w:t>
      </w:r>
      <w:r>
        <w:rPr>
          <w:rFonts w:eastAsia="仿宋_GB2312"/>
          <w:kern w:val="0"/>
          <w:sz w:val="24"/>
        </w:rPr>
        <w:t>，目前场地内实际林草覆盖率达到18.05</w:t>
      </w:r>
      <w:r>
        <w:rPr>
          <w:rFonts w:eastAsia="仿宋_GB2312"/>
          <w:sz w:val="24"/>
        </w:rPr>
        <w:t>%</w:t>
      </w:r>
      <w:r>
        <w:rPr>
          <w:rFonts w:eastAsia="仿宋_GB2312"/>
          <w:kern w:val="0"/>
          <w:sz w:val="24"/>
        </w:rPr>
        <w:t>。</w:t>
      </w:r>
    </w:p>
    <w:p>
      <w:pPr>
        <w:autoSpaceDE w:val="0"/>
        <w:autoSpaceDN w:val="0"/>
        <w:adjustRightInd w:val="0"/>
        <w:spacing w:line="360" w:lineRule="auto"/>
        <w:rPr>
          <w:rFonts w:eastAsia="仿宋_GB2312"/>
          <w:color w:val="FF0000"/>
          <w:kern w:val="0"/>
          <w:szCs w:val="21"/>
        </w:rPr>
        <w:sectPr>
          <w:headerReference r:id="rId18" w:type="default"/>
          <w:headerReference r:id="rId19" w:type="even"/>
          <w:pgSz w:w="11906" w:h="16838"/>
          <w:pgMar w:top="1701" w:right="1418" w:bottom="1701" w:left="1418" w:header="851" w:footer="992" w:gutter="0"/>
          <w:cols w:space="720" w:num="1"/>
          <w:docGrid w:linePitch="312" w:charSpace="0"/>
        </w:sectPr>
      </w:pPr>
    </w:p>
    <w:p>
      <w:pPr>
        <w:pStyle w:val="47"/>
        <w:topLinePunct/>
        <w:adjustRightInd w:val="0"/>
        <w:spacing w:before="0" w:after="0" w:line="360" w:lineRule="auto"/>
        <w:jc w:val="both"/>
        <w:rPr>
          <w:rFonts w:eastAsia="仿宋_GB2312"/>
          <w:szCs w:val="36"/>
        </w:rPr>
      </w:pPr>
      <w:bookmarkStart w:id="47" w:name="_Toc134801939"/>
      <w:r>
        <w:rPr>
          <w:rFonts w:eastAsia="仿宋_GB2312"/>
          <w:szCs w:val="36"/>
        </w:rPr>
        <w:t>7 结论</w:t>
      </w:r>
      <w:bookmarkEnd w:id="47"/>
    </w:p>
    <w:p>
      <w:pPr>
        <w:pStyle w:val="3"/>
        <w:adjustRightInd w:val="0"/>
        <w:spacing w:before="0" w:after="0" w:line="360" w:lineRule="auto"/>
        <w:rPr>
          <w:rFonts w:ascii="Times New Roman" w:hAnsi="Times New Roman" w:eastAsia="仿宋_GB2312"/>
          <w:bCs w:val="0"/>
          <w:sz w:val="28"/>
          <w:szCs w:val="28"/>
        </w:rPr>
      </w:pPr>
      <w:bookmarkStart w:id="48" w:name="_Toc134801940"/>
      <w:r>
        <w:rPr>
          <w:rFonts w:ascii="Times New Roman" w:hAnsi="Times New Roman" w:eastAsia="仿宋_GB2312"/>
          <w:bCs w:val="0"/>
          <w:sz w:val="28"/>
          <w:szCs w:val="28"/>
        </w:rPr>
        <w:t>7.1 水土流失动态变化</w:t>
      </w:r>
      <w:bookmarkEnd w:id="48"/>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根据本项目水土保持监测情况，经计算分析，水土流失总治理度将达到</w:t>
      </w:r>
      <w:r>
        <w:rPr>
          <w:rFonts w:hint="eastAsia" w:eastAsia="仿宋_GB2312"/>
          <w:kern w:val="0"/>
          <w:sz w:val="24"/>
        </w:rPr>
        <w:t>1</w:t>
      </w:r>
      <w:r>
        <w:rPr>
          <w:rFonts w:eastAsia="仿宋_GB2312"/>
          <w:kern w:val="0"/>
          <w:sz w:val="24"/>
        </w:rPr>
        <w:t>00%，渣土防护率100%，土壤流失控制比大于1.0，林草植被恢复率达到</w:t>
      </w:r>
      <w:r>
        <w:rPr>
          <w:rFonts w:hint="eastAsia" w:eastAsia="仿宋_GB2312"/>
          <w:kern w:val="0"/>
          <w:sz w:val="24"/>
        </w:rPr>
        <w:t>1</w:t>
      </w:r>
      <w:r>
        <w:rPr>
          <w:rFonts w:eastAsia="仿宋_GB2312"/>
          <w:kern w:val="0"/>
          <w:sz w:val="24"/>
        </w:rPr>
        <w:t>00%</w:t>
      </w:r>
      <w:r>
        <w:rPr>
          <w:rFonts w:hint="eastAsia" w:eastAsia="仿宋_GB2312"/>
          <w:kern w:val="0"/>
          <w:sz w:val="24"/>
        </w:rPr>
        <w:t>，</w:t>
      </w:r>
      <w:r>
        <w:rPr>
          <w:rFonts w:eastAsia="仿宋_GB2312"/>
          <w:kern w:val="0"/>
          <w:sz w:val="24"/>
        </w:rPr>
        <w:t>林草覆盖率</w:t>
      </w:r>
      <w:r>
        <w:rPr>
          <w:rFonts w:hint="eastAsia" w:eastAsia="仿宋_GB2312"/>
          <w:kern w:val="0"/>
          <w:sz w:val="24"/>
        </w:rPr>
        <w:t>达到</w:t>
      </w:r>
      <w:r>
        <w:rPr>
          <w:rFonts w:eastAsia="仿宋_GB2312"/>
          <w:kern w:val="0"/>
          <w:sz w:val="24"/>
        </w:rPr>
        <w:t>18.05%</w:t>
      </w:r>
      <w:r>
        <w:rPr>
          <w:rFonts w:hint="eastAsia" w:eastAsia="仿宋_GB2312"/>
          <w:kern w:val="0"/>
          <w:sz w:val="24"/>
        </w:rPr>
        <w:t>，</w:t>
      </w:r>
      <w:r>
        <w:rPr>
          <w:rFonts w:eastAsia="仿宋_GB2312"/>
          <w:kern w:val="0"/>
          <w:sz w:val="24"/>
        </w:rPr>
        <w:t>本项目水土保持方案介入时项目</w:t>
      </w:r>
      <w:r>
        <w:rPr>
          <w:rFonts w:eastAsia="仿宋_GB2312"/>
          <w:sz w:val="24"/>
        </w:rPr>
        <w:t>已</w:t>
      </w:r>
      <w:r>
        <w:rPr>
          <w:rFonts w:hint="eastAsia" w:eastAsia="仿宋_GB2312"/>
          <w:sz w:val="24"/>
        </w:rPr>
        <w:t>无可剥离表土</w:t>
      </w:r>
      <w:r>
        <w:rPr>
          <w:rFonts w:eastAsia="仿宋_GB2312"/>
          <w:sz w:val="24"/>
        </w:rPr>
        <w:t>，故不涉及表土保护率</w:t>
      </w:r>
      <w:r>
        <w:rPr>
          <w:rFonts w:eastAsia="仿宋_GB2312"/>
          <w:kern w:val="0"/>
          <w:sz w:val="24"/>
        </w:rPr>
        <w:t>。</w:t>
      </w:r>
      <w:r>
        <w:rPr>
          <w:rFonts w:hint="eastAsia" w:eastAsia="仿宋_GB2312"/>
          <w:kern w:val="0"/>
          <w:sz w:val="24"/>
        </w:rPr>
        <w:t>施工生产生活防治区所占临时区域</w:t>
      </w:r>
      <w:r>
        <w:rPr>
          <w:rFonts w:hint="eastAsia" w:eastAsia="仿宋_GB2312"/>
          <w:sz w:val="24"/>
        </w:rPr>
        <w:t>临建设施已移交至“茶园支十五路道路及配套工程”继续使用</w:t>
      </w:r>
      <w:r>
        <w:rPr>
          <w:rFonts w:hint="eastAsia" w:eastAsia="仿宋_GB2312"/>
          <w:kern w:val="0"/>
          <w:sz w:val="24"/>
        </w:rPr>
        <w:t>，</w:t>
      </w:r>
      <w:r>
        <w:rPr>
          <w:rFonts w:hint="eastAsia" w:eastAsia="仿宋_GB2312"/>
          <w:sz w:val="24"/>
        </w:rPr>
        <w:t>方案报告书设计完工后的水土保持措施将在道路工程完工后实施，根据临建设施移交情况的说明，建设单位将督促施工单位在道路工程完工后严格按照水土保持方案要求落实施工生产生活区的水土保持防治工作，并将该区域水土保持设施纳入道路工程验收，不纳入本次验收。因施工生产生活防治区不纳入本次验收，而方案设计中植物措施包含临时占地</w:t>
      </w:r>
      <w:r>
        <w:rPr>
          <w:rFonts w:hint="eastAsia" w:eastAsia="仿宋_GB2312"/>
          <w:kern w:val="0"/>
          <w:sz w:val="24"/>
        </w:rPr>
        <w:t>，</w:t>
      </w:r>
      <w:r>
        <w:rPr>
          <w:rFonts w:hint="eastAsia" w:eastAsia="仿宋_GB2312"/>
          <w:sz w:val="24"/>
        </w:rPr>
        <w:t>故调整林草覆盖率目标值为1</w:t>
      </w:r>
      <w:r>
        <w:rPr>
          <w:rFonts w:eastAsia="仿宋_GB2312"/>
          <w:sz w:val="24"/>
        </w:rPr>
        <w:t>8</w:t>
      </w:r>
      <w:r>
        <w:rPr>
          <w:rFonts w:hint="eastAsia" w:eastAsia="仿宋_GB2312"/>
          <w:sz w:val="24"/>
        </w:rPr>
        <w:t>%</w:t>
      </w:r>
      <w:r>
        <w:rPr>
          <w:rFonts w:hint="eastAsia" w:eastAsia="仿宋_GB2312"/>
          <w:kern w:val="0"/>
          <w:sz w:val="24"/>
        </w:rPr>
        <w:t>。</w:t>
      </w:r>
      <w:r>
        <w:rPr>
          <w:rFonts w:hint="eastAsia" w:eastAsia="仿宋_GB2312"/>
          <w:sz w:val="24"/>
        </w:rPr>
        <w:t>因此，各项指标均能达标，本项目</w:t>
      </w:r>
      <w:r>
        <w:rPr>
          <w:rFonts w:eastAsia="仿宋_GB2312"/>
          <w:sz w:val="24"/>
        </w:rPr>
        <w:t>具备水土保持设施竣工验收的条件</w:t>
      </w:r>
      <w:r>
        <w:rPr>
          <w:rFonts w:eastAsia="仿宋_GB2312"/>
          <w:kern w:val="0"/>
          <w:sz w:val="24"/>
        </w:rPr>
        <w:t>。本项目防治目标达标情况见表7-1。</w:t>
      </w:r>
    </w:p>
    <w:p>
      <w:pPr>
        <w:adjustRightInd w:val="0"/>
        <w:snapToGrid w:val="0"/>
        <w:spacing w:line="360" w:lineRule="auto"/>
        <w:ind w:firstLine="482" w:firstLineChars="200"/>
        <w:jc w:val="center"/>
        <w:rPr>
          <w:rFonts w:eastAsia="仿宋_GB2312"/>
          <w:b/>
          <w:sz w:val="24"/>
        </w:rPr>
      </w:pPr>
      <w:r>
        <w:rPr>
          <w:rFonts w:eastAsia="仿宋_GB2312"/>
          <w:b/>
          <w:sz w:val="24"/>
        </w:rPr>
        <w:t>表7-1 防治目标计算表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1889"/>
        <w:gridCol w:w="2000"/>
        <w:gridCol w:w="1692"/>
        <w:gridCol w:w="12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327" w:type="pct"/>
            <w:vAlign w:val="center"/>
          </w:tcPr>
          <w:p>
            <w:pPr>
              <w:adjustRightInd w:val="0"/>
              <w:snapToGrid w:val="0"/>
              <w:jc w:val="center"/>
              <w:rPr>
                <w:rFonts w:eastAsia="仿宋_GB2312"/>
                <w:b/>
                <w:bCs/>
                <w:szCs w:val="21"/>
              </w:rPr>
            </w:pPr>
            <w:r>
              <w:rPr>
                <w:rFonts w:eastAsia="仿宋_GB2312"/>
                <w:b/>
                <w:bCs/>
                <w:szCs w:val="21"/>
              </w:rPr>
              <w:t>防治标准</w:t>
            </w:r>
          </w:p>
        </w:tc>
        <w:tc>
          <w:tcPr>
            <w:tcW w:w="1017" w:type="pct"/>
            <w:vAlign w:val="center"/>
          </w:tcPr>
          <w:p>
            <w:pPr>
              <w:adjustRightInd w:val="0"/>
              <w:snapToGrid w:val="0"/>
              <w:jc w:val="center"/>
              <w:rPr>
                <w:rFonts w:eastAsia="仿宋_GB2312"/>
                <w:b/>
                <w:bCs/>
                <w:szCs w:val="21"/>
              </w:rPr>
            </w:pPr>
            <w:r>
              <w:rPr>
                <w:rFonts w:eastAsia="仿宋_GB2312"/>
                <w:b/>
                <w:bCs/>
                <w:szCs w:val="21"/>
              </w:rPr>
              <w:t>一级标准（%）</w:t>
            </w:r>
          </w:p>
        </w:tc>
        <w:tc>
          <w:tcPr>
            <w:tcW w:w="1077" w:type="pct"/>
            <w:vAlign w:val="center"/>
          </w:tcPr>
          <w:p>
            <w:pPr>
              <w:adjustRightInd w:val="0"/>
              <w:snapToGrid w:val="0"/>
              <w:jc w:val="center"/>
              <w:rPr>
                <w:rFonts w:eastAsia="仿宋_GB2312"/>
                <w:b/>
                <w:bCs/>
                <w:szCs w:val="21"/>
              </w:rPr>
            </w:pPr>
            <w:r>
              <w:rPr>
                <w:rFonts w:eastAsia="仿宋_GB2312"/>
                <w:b/>
                <w:bCs/>
                <w:szCs w:val="21"/>
              </w:rPr>
              <w:t>方案目标值（%）</w:t>
            </w:r>
          </w:p>
        </w:tc>
        <w:tc>
          <w:tcPr>
            <w:tcW w:w="911" w:type="pct"/>
            <w:vAlign w:val="center"/>
          </w:tcPr>
          <w:p>
            <w:pPr>
              <w:adjustRightInd w:val="0"/>
              <w:snapToGrid w:val="0"/>
              <w:jc w:val="center"/>
              <w:rPr>
                <w:rFonts w:eastAsia="仿宋_GB2312"/>
                <w:b/>
                <w:bCs/>
                <w:szCs w:val="21"/>
              </w:rPr>
            </w:pPr>
            <w:r>
              <w:rPr>
                <w:rFonts w:eastAsia="仿宋_GB2312"/>
                <w:b/>
                <w:bCs/>
                <w:szCs w:val="21"/>
              </w:rPr>
              <w:t>监测值（%）</w:t>
            </w:r>
          </w:p>
        </w:tc>
        <w:tc>
          <w:tcPr>
            <w:tcW w:w="668" w:type="pct"/>
            <w:vAlign w:val="center"/>
          </w:tcPr>
          <w:p>
            <w:pPr>
              <w:adjustRightInd w:val="0"/>
              <w:snapToGrid w:val="0"/>
              <w:jc w:val="center"/>
              <w:rPr>
                <w:rFonts w:eastAsia="仿宋_GB2312"/>
                <w:b/>
                <w:bCs/>
                <w:szCs w:val="21"/>
              </w:rPr>
            </w:pPr>
            <w:r>
              <w:rPr>
                <w:rFonts w:eastAsia="仿宋_GB2312"/>
                <w:b/>
                <w:bCs/>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adjustRightInd w:val="0"/>
              <w:snapToGrid w:val="0"/>
              <w:jc w:val="center"/>
              <w:rPr>
                <w:rFonts w:eastAsia="仿宋_GB2312"/>
                <w:szCs w:val="21"/>
              </w:rPr>
            </w:pPr>
            <w:r>
              <w:rPr>
                <w:rFonts w:eastAsia="仿宋_GB2312"/>
                <w:szCs w:val="21"/>
              </w:rPr>
              <w:t>水土流失治理度</w:t>
            </w:r>
          </w:p>
        </w:tc>
        <w:tc>
          <w:tcPr>
            <w:tcW w:w="1017" w:type="pct"/>
            <w:vAlign w:val="center"/>
          </w:tcPr>
          <w:p>
            <w:pPr>
              <w:adjustRightInd w:val="0"/>
              <w:snapToGrid w:val="0"/>
              <w:jc w:val="center"/>
              <w:rPr>
                <w:rFonts w:eastAsia="仿宋_GB2312"/>
                <w:szCs w:val="21"/>
              </w:rPr>
            </w:pPr>
            <w:r>
              <w:rPr>
                <w:rFonts w:eastAsia="仿宋_GB2312"/>
                <w:szCs w:val="21"/>
              </w:rPr>
              <w:t>97</w:t>
            </w:r>
          </w:p>
        </w:tc>
        <w:tc>
          <w:tcPr>
            <w:tcW w:w="1077" w:type="pct"/>
            <w:vAlign w:val="center"/>
          </w:tcPr>
          <w:p>
            <w:pPr>
              <w:adjustRightInd w:val="0"/>
              <w:snapToGrid w:val="0"/>
              <w:jc w:val="center"/>
              <w:rPr>
                <w:rFonts w:eastAsia="仿宋_GB2312"/>
                <w:szCs w:val="21"/>
              </w:rPr>
            </w:pPr>
            <w:r>
              <w:rPr>
                <w:rFonts w:eastAsia="仿宋_GB2312"/>
                <w:szCs w:val="21"/>
              </w:rPr>
              <w:t>100</w:t>
            </w:r>
          </w:p>
        </w:tc>
        <w:tc>
          <w:tcPr>
            <w:tcW w:w="911" w:type="pct"/>
            <w:vAlign w:val="center"/>
          </w:tcPr>
          <w:p>
            <w:pPr>
              <w:adjustRightInd w:val="0"/>
              <w:snapToGrid w:val="0"/>
              <w:jc w:val="center"/>
              <w:rPr>
                <w:rFonts w:eastAsia="仿宋_GB2312"/>
                <w:szCs w:val="21"/>
              </w:rPr>
            </w:pPr>
            <w:r>
              <w:rPr>
                <w:rFonts w:eastAsia="仿宋_GB2312"/>
                <w:szCs w:val="21"/>
              </w:rPr>
              <w:t>79.31</w:t>
            </w:r>
          </w:p>
        </w:tc>
        <w:tc>
          <w:tcPr>
            <w:tcW w:w="668" w:type="pct"/>
            <w:vAlign w:val="center"/>
          </w:tcPr>
          <w:p>
            <w:pPr>
              <w:adjustRightInd w:val="0"/>
              <w:snapToGrid w:val="0"/>
              <w:jc w:val="center"/>
              <w:rPr>
                <w:rFonts w:eastAsia="仿宋_GB2312"/>
                <w:szCs w:val="21"/>
              </w:rPr>
            </w:pPr>
            <w:r>
              <w:rPr>
                <w:rFonts w:eastAsia="仿宋_GB2312"/>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adjustRightInd w:val="0"/>
              <w:snapToGrid w:val="0"/>
              <w:jc w:val="center"/>
              <w:rPr>
                <w:rFonts w:eastAsia="仿宋_GB2312"/>
                <w:szCs w:val="21"/>
              </w:rPr>
            </w:pPr>
            <w:r>
              <w:rPr>
                <w:rFonts w:eastAsia="仿宋_GB2312"/>
                <w:szCs w:val="21"/>
              </w:rPr>
              <w:t>土壤流失控制比</w:t>
            </w:r>
          </w:p>
        </w:tc>
        <w:tc>
          <w:tcPr>
            <w:tcW w:w="1017" w:type="pct"/>
            <w:vAlign w:val="center"/>
          </w:tcPr>
          <w:p>
            <w:pPr>
              <w:adjustRightInd w:val="0"/>
              <w:snapToGrid w:val="0"/>
              <w:jc w:val="center"/>
              <w:rPr>
                <w:rFonts w:eastAsia="仿宋_GB2312"/>
                <w:szCs w:val="21"/>
              </w:rPr>
            </w:pPr>
            <w:r>
              <w:rPr>
                <w:rFonts w:eastAsia="仿宋_GB2312"/>
                <w:szCs w:val="21"/>
              </w:rPr>
              <w:t>1.0</w:t>
            </w:r>
          </w:p>
        </w:tc>
        <w:tc>
          <w:tcPr>
            <w:tcW w:w="1077" w:type="pct"/>
            <w:vAlign w:val="center"/>
          </w:tcPr>
          <w:p>
            <w:pPr>
              <w:adjustRightInd w:val="0"/>
              <w:snapToGrid w:val="0"/>
              <w:jc w:val="center"/>
              <w:rPr>
                <w:rFonts w:eastAsia="仿宋_GB2312"/>
                <w:szCs w:val="21"/>
              </w:rPr>
            </w:pPr>
            <w:r>
              <w:rPr>
                <w:rFonts w:eastAsia="仿宋_GB2312"/>
                <w:szCs w:val="21"/>
              </w:rPr>
              <w:t>1.0</w:t>
            </w:r>
          </w:p>
        </w:tc>
        <w:tc>
          <w:tcPr>
            <w:tcW w:w="911" w:type="pct"/>
            <w:vAlign w:val="center"/>
          </w:tcPr>
          <w:p>
            <w:pPr>
              <w:adjustRightInd w:val="0"/>
              <w:snapToGrid w:val="0"/>
              <w:jc w:val="center"/>
              <w:rPr>
                <w:rFonts w:eastAsia="仿宋_GB2312"/>
                <w:szCs w:val="21"/>
              </w:rPr>
            </w:pPr>
            <w:r>
              <w:rPr>
                <w:rFonts w:eastAsia="仿宋_GB2312"/>
                <w:szCs w:val="21"/>
              </w:rPr>
              <w:t>1.0</w:t>
            </w:r>
          </w:p>
        </w:tc>
        <w:tc>
          <w:tcPr>
            <w:tcW w:w="668" w:type="pct"/>
            <w:vAlign w:val="center"/>
          </w:tcPr>
          <w:p>
            <w:pPr>
              <w:adjustRightInd w:val="0"/>
              <w:jc w:val="center"/>
            </w:pPr>
            <w:r>
              <w:rPr>
                <w:rFonts w:eastAsia="仿宋_GB2312"/>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adjustRightInd w:val="0"/>
              <w:snapToGrid w:val="0"/>
              <w:jc w:val="center"/>
              <w:rPr>
                <w:rFonts w:eastAsia="仿宋_GB2312"/>
                <w:szCs w:val="21"/>
              </w:rPr>
            </w:pPr>
            <w:r>
              <w:rPr>
                <w:rFonts w:eastAsia="仿宋_GB2312"/>
                <w:szCs w:val="21"/>
              </w:rPr>
              <w:t>渣土防护率</w:t>
            </w:r>
          </w:p>
        </w:tc>
        <w:tc>
          <w:tcPr>
            <w:tcW w:w="1017" w:type="pct"/>
            <w:vAlign w:val="center"/>
          </w:tcPr>
          <w:p>
            <w:pPr>
              <w:adjustRightInd w:val="0"/>
              <w:snapToGrid w:val="0"/>
              <w:jc w:val="center"/>
              <w:rPr>
                <w:rFonts w:eastAsia="仿宋_GB2312"/>
                <w:szCs w:val="21"/>
              </w:rPr>
            </w:pPr>
            <w:r>
              <w:rPr>
                <w:rFonts w:eastAsia="仿宋_GB2312"/>
                <w:szCs w:val="21"/>
              </w:rPr>
              <w:t>94</w:t>
            </w:r>
          </w:p>
        </w:tc>
        <w:tc>
          <w:tcPr>
            <w:tcW w:w="1077" w:type="pct"/>
            <w:vAlign w:val="center"/>
          </w:tcPr>
          <w:p>
            <w:pPr>
              <w:adjustRightInd w:val="0"/>
              <w:snapToGrid w:val="0"/>
              <w:jc w:val="center"/>
              <w:rPr>
                <w:rFonts w:eastAsia="仿宋_GB2312"/>
                <w:szCs w:val="21"/>
              </w:rPr>
            </w:pPr>
            <w:r>
              <w:rPr>
                <w:rFonts w:eastAsia="仿宋_GB2312"/>
                <w:szCs w:val="21"/>
              </w:rPr>
              <w:t>100</w:t>
            </w:r>
          </w:p>
        </w:tc>
        <w:tc>
          <w:tcPr>
            <w:tcW w:w="911" w:type="pct"/>
            <w:vAlign w:val="center"/>
          </w:tcPr>
          <w:p>
            <w:pPr>
              <w:adjustRightInd w:val="0"/>
              <w:snapToGrid w:val="0"/>
              <w:jc w:val="center"/>
              <w:rPr>
                <w:rFonts w:eastAsia="仿宋_GB2312"/>
                <w:szCs w:val="21"/>
              </w:rPr>
            </w:pPr>
            <w:r>
              <w:rPr>
                <w:rFonts w:eastAsia="仿宋_GB2312"/>
                <w:szCs w:val="21"/>
              </w:rPr>
              <w:t>100</w:t>
            </w:r>
          </w:p>
        </w:tc>
        <w:tc>
          <w:tcPr>
            <w:tcW w:w="668" w:type="pct"/>
            <w:vAlign w:val="center"/>
          </w:tcPr>
          <w:p>
            <w:pPr>
              <w:adjustRightInd w:val="0"/>
              <w:jc w:val="center"/>
            </w:pPr>
            <w:r>
              <w:rPr>
                <w:rFonts w:eastAsia="仿宋_GB2312"/>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adjustRightInd w:val="0"/>
              <w:snapToGrid w:val="0"/>
              <w:jc w:val="center"/>
              <w:rPr>
                <w:rFonts w:eastAsia="仿宋_GB2312"/>
                <w:szCs w:val="21"/>
              </w:rPr>
            </w:pPr>
            <w:r>
              <w:rPr>
                <w:rFonts w:eastAsia="仿宋_GB2312"/>
                <w:szCs w:val="21"/>
              </w:rPr>
              <w:t>表土保护率</w:t>
            </w:r>
          </w:p>
        </w:tc>
        <w:tc>
          <w:tcPr>
            <w:tcW w:w="1017" w:type="pct"/>
            <w:vAlign w:val="center"/>
          </w:tcPr>
          <w:p>
            <w:pPr>
              <w:adjustRightInd w:val="0"/>
              <w:snapToGrid w:val="0"/>
              <w:jc w:val="center"/>
              <w:rPr>
                <w:rFonts w:eastAsia="仿宋_GB2312"/>
                <w:szCs w:val="21"/>
              </w:rPr>
            </w:pPr>
            <w:r>
              <w:rPr>
                <w:rFonts w:eastAsia="仿宋_GB2312"/>
                <w:szCs w:val="21"/>
              </w:rPr>
              <w:t>/</w:t>
            </w:r>
          </w:p>
        </w:tc>
        <w:tc>
          <w:tcPr>
            <w:tcW w:w="1077" w:type="pct"/>
            <w:vAlign w:val="center"/>
          </w:tcPr>
          <w:p>
            <w:pPr>
              <w:adjustRightInd w:val="0"/>
              <w:snapToGrid w:val="0"/>
              <w:jc w:val="center"/>
              <w:rPr>
                <w:rFonts w:eastAsia="仿宋_GB2312"/>
                <w:szCs w:val="21"/>
              </w:rPr>
            </w:pPr>
            <w:r>
              <w:rPr>
                <w:rFonts w:eastAsia="仿宋_GB2312"/>
                <w:szCs w:val="21"/>
              </w:rPr>
              <w:t>/</w:t>
            </w:r>
          </w:p>
        </w:tc>
        <w:tc>
          <w:tcPr>
            <w:tcW w:w="911" w:type="pct"/>
            <w:vAlign w:val="center"/>
          </w:tcPr>
          <w:p>
            <w:pPr>
              <w:adjustRightInd w:val="0"/>
              <w:snapToGrid w:val="0"/>
              <w:jc w:val="center"/>
              <w:rPr>
                <w:rFonts w:eastAsia="仿宋_GB2312"/>
                <w:szCs w:val="21"/>
              </w:rPr>
            </w:pPr>
            <w:r>
              <w:rPr>
                <w:rFonts w:eastAsia="仿宋_GB2312"/>
                <w:szCs w:val="21"/>
              </w:rPr>
              <w:t>/</w:t>
            </w:r>
          </w:p>
        </w:tc>
        <w:tc>
          <w:tcPr>
            <w:tcW w:w="668" w:type="pct"/>
            <w:vAlign w:val="center"/>
          </w:tcPr>
          <w:p>
            <w:pPr>
              <w:adjustRightInd w:val="0"/>
              <w:jc w:val="center"/>
            </w:pPr>
            <w:r>
              <w:rPr>
                <w:rFonts w:eastAsia="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adjustRightInd w:val="0"/>
              <w:snapToGrid w:val="0"/>
              <w:jc w:val="center"/>
              <w:rPr>
                <w:rFonts w:eastAsia="仿宋_GB2312"/>
                <w:szCs w:val="21"/>
              </w:rPr>
            </w:pPr>
            <w:r>
              <w:rPr>
                <w:rFonts w:eastAsia="仿宋_GB2312"/>
                <w:szCs w:val="21"/>
              </w:rPr>
              <w:t>林草植被恢复率</w:t>
            </w:r>
          </w:p>
        </w:tc>
        <w:tc>
          <w:tcPr>
            <w:tcW w:w="1017" w:type="pct"/>
            <w:vAlign w:val="center"/>
          </w:tcPr>
          <w:p>
            <w:pPr>
              <w:adjustRightInd w:val="0"/>
              <w:snapToGrid w:val="0"/>
              <w:jc w:val="center"/>
              <w:rPr>
                <w:rFonts w:eastAsia="仿宋_GB2312"/>
                <w:szCs w:val="21"/>
              </w:rPr>
            </w:pPr>
            <w:r>
              <w:rPr>
                <w:rFonts w:eastAsia="仿宋_GB2312"/>
                <w:szCs w:val="21"/>
              </w:rPr>
              <w:t>97</w:t>
            </w:r>
          </w:p>
        </w:tc>
        <w:tc>
          <w:tcPr>
            <w:tcW w:w="1077" w:type="pct"/>
            <w:vAlign w:val="center"/>
          </w:tcPr>
          <w:p>
            <w:pPr>
              <w:adjustRightInd w:val="0"/>
              <w:snapToGrid w:val="0"/>
              <w:jc w:val="center"/>
              <w:rPr>
                <w:rFonts w:eastAsia="仿宋_GB2312"/>
                <w:szCs w:val="21"/>
              </w:rPr>
            </w:pPr>
            <w:r>
              <w:rPr>
                <w:rFonts w:eastAsia="仿宋_GB2312"/>
                <w:szCs w:val="21"/>
              </w:rPr>
              <w:t>100</w:t>
            </w:r>
          </w:p>
        </w:tc>
        <w:tc>
          <w:tcPr>
            <w:tcW w:w="911" w:type="pct"/>
            <w:vAlign w:val="center"/>
          </w:tcPr>
          <w:p>
            <w:pPr>
              <w:adjustRightInd w:val="0"/>
              <w:snapToGrid w:val="0"/>
              <w:jc w:val="center"/>
              <w:rPr>
                <w:rFonts w:eastAsia="仿宋_GB2312"/>
                <w:szCs w:val="21"/>
              </w:rPr>
            </w:pPr>
            <w:r>
              <w:rPr>
                <w:rFonts w:hint="eastAsia" w:eastAsia="仿宋_GB2312"/>
                <w:szCs w:val="21"/>
              </w:rPr>
              <w:t>1</w:t>
            </w:r>
            <w:r>
              <w:rPr>
                <w:rFonts w:eastAsia="仿宋_GB2312"/>
                <w:szCs w:val="21"/>
              </w:rPr>
              <w:t>00</w:t>
            </w:r>
          </w:p>
        </w:tc>
        <w:tc>
          <w:tcPr>
            <w:tcW w:w="668" w:type="pct"/>
            <w:vAlign w:val="center"/>
          </w:tcPr>
          <w:p>
            <w:pPr>
              <w:adjustRightInd w:val="0"/>
              <w:jc w:val="center"/>
            </w:pPr>
            <w:r>
              <w:rPr>
                <w:rFonts w:eastAsia="仿宋_GB2312"/>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adjustRightInd w:val="0"/>
              <w:snapToGrid w:val="0"/>
              <w:jc w:val="center"/>
              <w:rPr>
                <w:rFonts w:eastAsia="仿宋_GB2312"/>
                <w:szCs w:val="21"/>
              </w:rPr>
            </w:pPr>
            <w:r>
              <w:rPr>
                <w:rFonts w:eastAsia="仿宋_GB2312"/>
                <w:szCs w:val="21"/>
              </w:rPr>
              <w:t>林草覆盖率</w:t>
            </w:r>
          </w:p>
        </w:tc>
        <w:tc>
          <w:tcPr>
            <w:tcW w:w="1017" w:type="pct"/>
            <w:vAlign w:val="center"/>
          </w:tcPr>
          <w:p>
            <w:pPr>
              <w:adjustRightInd w:val="0"/>
              <w:snapToGrid w:val="0"/>
              <w:jc w:val="center"/>
              <w:rPr>
                <w:rFonts w:eastAsia="仿宋_GB2312"/>
                <w:szCs w:val="21"/>
              </w:rPr>
            </w:pPr>
            <w:r>
              <w:rPr>
                <w:rFonts w:eastAsia="仿宋_GB2312"/>
                <w:szCs w:val="21"/>
              </w:rPr>
              <w:t>27</w:t>
            </w:r>
          </w:p>
        </w:tc>
        <w:tc>
          <w:tcPr>
            <w:tcW w:w="1077" w:type="pct"/>
            <w:vAlign w:val="center"/>
          </w:tcPr>
          <w:p>
            <w:pPr>
              <w:adjustRightInd w:val="0"/>
              <w:snapToGrid w:val="0"/>
              <w:jc w:val="center"/>
              <w:rPr>
                <w:rFonts w:eastAsia="仿宋_GB2312"/>
                <w:szCs w:val="21"/>
              </w:rPr>
            </w:pPr>
            <w:r>
              <w:rPr>
                <w:rFonts w:hint="eastAsia" w:eastAsia="仿宋_GB2312"/>
                <w:szCs w:val="21"/>
              </w:rPr>
              <w:t>1</w:t>
            </w:r>
            <w:r>
              <w:rPr>
                <w:rFonts w:eastAsia="仿宋_GB2312"/>
                <w:szCs w:val="21"/>
              </w:rPr>
              <w:t>8</w:t>
            </w:r>
          </w:p>
        </w:tc>
        <w:tc>
          <w:tcPr>
            <w:tcW w:w="911" w:type="pct"/>
            <w:vAlign w:val="center"/>
          </w:tcPr>
          <w:p>
            <w:pPr>
              <w:adjustRightInd w:val="0"/>
              <w:snapToGrid w:val="0"/>
              <w:jc w:val="center"/>
              <w:rPr>
                <w:rFonts w:eastAsia="仿宋_GB2312"/>
                <w:szCs w:val="21"/>
              </w:rPr>
            </w:pPr>
            <w:r>
              <w:rPr>
                <w:rFonts w:eastAsia="仿宋_GB2312"/>
                <w:szCs w:val="21"/>
              </w:rPr>
              <w:t>18.05</w:t>
            </w:r>
          </w:p>
        </w:tc>
        <w:tc>
          <w:tcPr>
            <w:tcW w:w="668" w:type="pct"/>
            <w:vAlign w:val="center"/>
          </w:tcPr>
          <w:p>
            <w:pPr>
              <w:adjustRightInd w:val="0"/>
              <w:jc w:val="center"/>
            </w:pPr>
            <w:r>
              <w:rPr>
                <w:rFonts w:eastAsia="仿宋_GB2312"/>
                <w:szCs w:val="21"/>
              </w:rPr>
              <w:t>达标</w:t>
            </w:r>
          </w:p>
        </w:tc>
      </w:tr>
    </w:tbl>
    <w:p>
      <w:pPr>
        <w:pStyle w:val="3"/>
        <w:adjustRightInd w:val="0"/>
        <w:spacing w:before="0" w:after="0" w:line="360" w:lineRule="auto"/>
        <w:rPr>
          <w:rFonts w:ascii="Times New Roman" w:hAnsi="Times New Roman" w:eastAsia="仿宋_GB2312"/>
          <w:bCs w:val="0"/>
          <w:sz w:val="28"/>
          <w:szCs w:val="28"/>
        </w:rPr>
      </w:pPr>
      <w:bookmarkStart w:id="49" w:name="_Toc134801941"/>
      <w:r>
        <w:rPr>
          <w:rFonts w:ascii="Times New Roman" w:hAnsi="Times New Roman" w:eastAsia="仿宋_GB2312"/>
          <w:bCs w:val="0"/>
          <w:sz w:val="28"/>
          <w:szCs w:val="28"/>
        </w:rPr>
        <w:t>7.2 水土</w:t>
      </w:r>
      <w:r>
        <w:rPr>
          <w:rFonts w:ascii="Times New Roman" w:hAnsi="Times New Roman" w:eastAsia="仿宋_GB2312"/>
          <w:bCs w:val="0"/>
          <w:sz w:val="28"/>
          <w:szCs w:val="28"/>
          <w:lang w:eastAsia="zh-CN"/>
        </w:rPr>
        <w:t>保持措施评价</w:t>
      </w:r>
      <w:bookmarkEnd w:id="49"/>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虽然施工期水土保持临时措施无法监测，但运行期间已实施水土保持工程措施、植物措施符合建设要求，发挥了水土保持功效，保障了水土保持措施发挥效益，满足运行期间水土流失防治需求。</w:t>
      </w:r>
    </w:p>
    <w:p>
      <w:pPr>
        <w:pStyle w:val="3"/>
        <w:adjustRightInd w:val="0"/>
        <w:spacing w:before="0" w:after="0" w:line="360" w:lineRule="auto"/>
        <w:rPr>
          <w:rFonts w:ascii="Times New Roman" w:hAnsi="Times New Roman" w:eastAsia="仿宋_GB2312"/>
          <w:bCs w:val="0"/>
          <w:sz w:val="28"/>
          <w:szCs w:val="28"/>
        </w:rPr>
      </w:pPr>
      <w:bookmarkStart w:id="50" w:name="_Toc134801942"/>
      <w:r>
        <w:rPr>
          <w:rFonts w:ascii="Times New Roman" w:hAnsi="Times New Roman" w:eastAsia="仿宋_GB2312"/>
          <w:bCs w:val="0"/>
          <w:sz w:val="28"/>
          <w:szCs w:val="28"/>
        </w:rPr>
        <w:t>7.3 三色评价结论</w:t>
      </w:r>
      <w:bookmarkEnd w:id="50"/>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根据《水利部办公厅关于进一步加强生产建设项目水土保持监测工作的通知》（办水保〔2020〕161号），监测总结报告中“三色”评价得分应以全部监测季报的平均分为准，本工程</w:t>
      </w:r>
      <w:r>
        <w:rPr>
          <w:rFonts w:hint="eastAsia" w:eastAsia="仿宋_GB2312"/>
          <w:kern w:val="0"/>
          <w:sz w:val="24"/>
        </w:rPr>
        <w:t>2</w:t>
      </w:r>
      <w:r>
        <w:rPr>
          <w:rFonts w:eastAsia="仿宋_GB2312"/>
          <w:kern w:val="0"/>
          <w:sz w:val="24"/>
        </w:rPr>
        <w:t>022</w:t>
      </w:r>
      <w:r>
        <w:rPr>
          <w:rFonts w:hint="eastAsia" w:eastAsia="仿宋_GB2312"/>
          <w:kern w:val="0"/>
          <w:sz w:val="24"/>
        </w:rPr>
        <w:t>年1</w:t>
      </w:r>
      <w:r>
        <w:rPr>
          <w:rFonts w:eastAsia="仿宋_GB2312"/>
          <w:kern w:val="0"/>
          <w:sz w:val="24"/>
        </w:rPr>
        <w:t>2</w:t>
      </w:r>
      <w:r>
        <w:rPr>
          <w:rFonts w:hint="eastAsia" w:eastAsia="仿宋_GB2312"/>
          <w:kern w:val="0"/>
          <w:sz w:val="24"/>
        </w:rPr>
        <w:t>月完成监测实施方案后，于2</w:t>
      </w:r>
      <w:r>
        <w:rPr>
          <w:rFonts w:eastAsia="仿宋_GB2312"/>
          <w:kern w:val="0"/>
          <w:sz w:val="24"/>
        </w:rPr>
        <w:t>023</w:t>
      </w:r>
      <w:r>
        <w:rPr>
          <w:rFonts w:hint="eastAsia" w:eastAsia="仿宋_GB2312"/>
          <w:kern w:val="0"/>
          <w:sz w:val="24"/>
        </w:rPr>
        <w:t>年</w:t>
      </w:r>
      <w:r>
        <w:rPr>
          <w:rFonts w:eastAsia="仿宋_GB2312"/>
          <w:kern w:val="0"/>
          <w:sz w:val="24"/>
        </w:rPr>
        <w:t>4</w:t>
      </w:r>
      <w:r>
        <w:rPr>
          <w:rFonts w:hint="eastAsia" w:eastAsia="仿宋_GB2312"/>
          <w:kern w:val="0"/>
          <w:sz w:val="24"/>
        </w:rPr>
        <w:t>月完成了2</w:t>
      </w:r>
      <w:r>
        <w:rPr>
          <w:rFonts w:eastAsia="仿宋_GB2312"/>
          <w:kern w:val="0"/>
          <w:sz w:val="24"/>
        </w:rPr>
        <w:t>023</w:t>
      </w:r>
      <w:r>
        <w:rPr>
          <w:rFonts w:hint="eastAsia" w:eastAsia="仿宋_GB2312"/>
          <w:kern w:val="0"/>
          <w:sz w:val="24"/>
        </w:rPr>
        <w:t>年第一季度监测季报，根据第一季度监测季报</w:t>
      </w:r>
      <w:r>
        <w:rPr>
          <w:rFonts w:eastAsia="仿宋_GB2312"/>
          <w:kern w:val="0"/>
          <w:sz w:val="24"/>
        </w:rPr>
        <w:t>，</w:t>
      </w:r>
      <w:r>
        <w:rPr>
          <w:rFonts w:hint="eastAsia" w:eastAsia="仿宋_GB2312"/>
          <w:kern w:val="0"/>
          <w:sz w:val="24"/>
        </w:rPr>
        <w:t>本项目</w:t>
      </w:r>
      <w:r>
        <w:rPr>
          <w:rFonts w:eastAsia="仿宋_GB2312"/>
          <w:kern w:val="0"/>
          <w:sz w:val="24"/>
        </w:rPr>
        <w:t>三色评价</w:t>
      </w:r>
      <w:r>
        <w:rPr>
          <w:rFonts w:hint="eastAsia" w:eastAsia="仿宋_GB2312"/>
          <w:kern w:val="0"/>
          <w:sz w:val="24"/>
        </w:rPr>
        <w:t>为绿色</w:t>
      </w:r>
      <w:r>
        <w:rPr>
          <w:rFonts w:eastAsia="仿宋_GB2312"/>
          <w:kern w:val="0"/>
          <w:sz w:val="24"/>
        </w:rPr>
        <w:t>。</w:t>
      </w:r>
    </w:p>
    <w:p>
      <w:pPr>
        <w:pStyle w:val="3"/>
        <w:adjustRightInd w:val="0"/>
        <w:spacing w:before="0" w:after="0" w:line="360" w:lineRule="auto"/>
        <w:rPr>
          <w:rFonts w:ascii="Times New Roman" w:hAnsi="Times New Roman" w:eastAsia="仿宋_GB2312"/>
          <w:bCs w:val="0"/>
          <w:sz w:val="28"/>
          <w:szCs w:val="28"/>
        </w:rPr>
      </w:pPr>
      <w:bookmarkStart w:id="51" w:name="_Toc134801943"/>
      <w:r>
        <w:rPr>
          <w:rFonts w:ascii="Times New Roman" w:hAnsi="Times New Roman" w:eastAsia="仿宋_GB2312"/>
          <w:bCs w:val="0"/>
          <w:sz w:val="28"/>
          <w:szCs w:val="28"/>
        </w:rPr>
        <w:t xml:space="preserve">7.4 </w:t>
      </w:r>
      <w:r>
        <w:rPr>
          <w:rFonts w:ascii="Times New Roman" w:hAnsi="Times New Roman" w:eastAsia="仿宋_GB2312"/>
          <w:bCs w:val="0"/>
          <w:sz w:val="28"/>
          <w:szCs w:val="28"/>
          <w:lang w:eastAsia="zh-CN"/>
        </w:rPr>
        <w:t>存在问题及建议</w:t>
      </w:r>
      <w:bookmarkEnd w:id="51"/>
    </w:p>
    <w:p>
      <w:pPr>
        <w:pStyle w:val="63"/>
        <w:numPr>
          <w:ilvl w:val="0"/>
          <w:numId w:val="16"/>
        </w:numPr>
        <w:autoSpaceDE w:val="0"/>
        <w:autoSpaceDN w:val="0"/>
        <w:adjustRightInd w:val="0"/>
        <w:spacing w:line="360" w:lineRule="auto"/>
        <w:ind w:left="709" w:firstLineChars="0"/>
        <w:rPr>
          <w:kern w:val="0"/>
        </w:rPr>
      </w:pPr>
      <w:r>
        <w:rPr>
          <w:kern w:val="0"/>
        </w:rPr>
        <w:t>存在问题：</w:t>
      </w:r>
    </w:p>
    <w:p>
      <w:pPr>
        <w:autoSpaceDE w:val="0"/>
        <w:autoSpaceDN w:val="0"/>
        <w:adjustRightInd w:val="0"/>
        <w:spacing w:line="360" w:lineRule="auto"/>
        <w:ind w:left="141" w:leftChars="67" w:firstLine="424" w:firstLineChars="177"/>
        <w:rPr>
          <w:rFonts w:eastAsia="仿宋_GB2312"/>
          <w:kern w:val="0"/>
          <w:sz w:val="24"/>
        </w:rPr>
      </w:pPr>
      <w:r>
        <w:rPr>
          <w:rFonts w:eastAsia="仿宋_GB2312"/>
          <w:kern w:val="0"/>
          <w:sz w:val="24"/>
        </w:rPr>
        <w:t>建设期间附属设施建设监理资料不充足。</w:t>
      </w:r>
    </w:p>
    <w:p>
      <w:pPr>
        <w:pStyle w:val="63"/>
        <w:numPr>
          <w:ilvl w:val="0"/>
          <w:numId w:val="16"/>
        </w:numPr>
        <w:adjustRightInd w:val="0"/>
        <w:snapToGrid w:val="0"/>
        <w:spacing w:line="360" w:lineRule="auto"/>
        <w:ind w:left="709" w:firstLineChars="0"/>
        <w:rPr>
          <w:kern w:val="0"/>
        </w:rPr>
      </w:pPr>
      <w:r>
        <w:rPr>
          <w:kern w:val="0"/>
        </w:rPr>
        <w:t>建议：</w:t>
      </w:r>
    </w:p>
    <w:p>
      <w:pPr>
        <w:pStyle w:val="63"/>
        <w:numPr>
          <w:ilvl w:val="0"/>
          <w:numId w:val="17"/>
        </w:numPr>
        <w:adjustRightInd w:val="0"/>
        <w:snapToGrid w:val="0"/>
        <w:spacing w:line="360" w:lineRule="auto"/>
        <w:ind w:left="141" w:leftChars="67" w:firstLine="424" w:firstLineChars="177"/>
        <w:rPr>
          <w:kern w:val="0"/>
        </w:rPr>
      </w:pPr>
      <w:r>
        <w:rPr>
          <w:rFonts w:hint="eastAsia"/>
          <w:kern w:val="0"/>
        </w:rPr>
        <w:t>做好</w:t>
      </w:r>
      <w:r>
        <w:rPr>
          <w:kern w:val="0"/>
        </w:rPr>
        <w:t>水土保持工程措施</w:t>
      </w:r>
      <w:r>
        <w:rPr>
          <w:rFonts w:hint="eastAsia"/>
          <w:kern w:val="0"/>
        </w:rPr>
        <w:t>的维护</w:t>
      </w:r>
      <w:r>
        <w:rPr>
          <w:kern w:val="0"/>
        </w:rPr>
        <w:t>，保证其发挥水土保持功效。</w:t>
      </w:r>
    </w:p>
    <w:p>
      <w:pPr>
        <w:pStyle w:val="63"/>
        <w:numPr>
          <w:ilvl w:val="0"/>
          <w:numId w:val="17"/>
        </w:numPr>
        <w:adjustRightInd w:val="0"/>
        <w:snapToGrid w:val="0"/>
        <w:spacing w:line="360" w:lineRule="auto"/>
        <w:ind w:left="0" w:firstLine="566" w:firstLineChars="236"/>
        <w:rPr>
          <w:kern w:val="0"/>
        </w:rPr>
      </w:pPr>
      <w:r>
        <w:rPr>
          <w:rFonts w:hint="eastAsia"/>
          <w:kern w:val="0"/>
        </w:rPr>
        <w:t>为</w:t>
      </w:r>
      <w:r>
        <w:rPr>
          <w:kern w:val="0"/>
        </w:rPr>
        <w:t>保证植物措施</w:t>
      </w:r>
      <w:r>
        <w:rPr>
          <w:rFonts w:hint="eastAsia"/>
          <w:kern w:val="0"/>
        </w:rPr>
        <w:t>的</w:t>
      </w:r>
      <w:r>
        <w:rPr>
          <w:kern w:val="0"/>
        </w:rPr>
        <w:t>存活率</w:t>
      </w:r>
      <w:r>
        <w:rPr>
          <w:rFonts w:hint="eastAsia"/>
          <w:kern w:val="0"/>
        </w:rPr>
        <w:t>、保存率</w:t>
      </w:r>
      <w:r>
        <w:rPr>
          <w:kern w:val="0"/>
        </w:rPr>
        <w:t>，如后期出现植被破坏或死亡，需及时补植。</w:t>
      </w:r>
    </w:p>
    <w:p>
      <w:pPr>
        <w:pStyle w:val="63"/>
        <w:numPr>
          <w:ilvl w:val="0"/>
          <w:numId w:val="17"/>
        </w:numPr>
        <w:adjustRightInd w:val="0"/>
        <w:snapToGrid w:val="0"/>
        <w:spacing w:line="360" w:lineRule="auto"/>
        <w:ind w:left="0" w:firstLine="566" w:firstLineChars="236"/>
        <w:rPr>
          <w:kern w:val="0"/>
        </w:rPr>
      </w:pPr>
      <w:r>
        <w:rPr>
          <w:kern w:val="0"/>
        </w:rPr>
        <w:t>在今后的水土保持工作中应该严格按照水保方案进行实施，以便更好、更全面的控制项目建设产生的水土流失。</w:t>
      </w:r>
    </w:p>
    <w:p>
      <w:pPr>
        <w:pStyle w:val="63"/>
        <w:numPr>
          <w:ilvl w:val="0"/>
          <w:numId w:val="17"/>
        </w:numPr>
        <w:adjustRightInd w:val="0"/>
        <w:snapToGrid w:val="0"/>
        <w:spacing w:line="360" w:lineRule="auto"/>
        <w:ind w:left="0" w:firstLine="566" w:firstLineChars="236"/>
        <w:rPr>
          <w:kern w:val="0"/>
        </w:rPr>
      </w:pPr>
      <w:r>
        <w:rPr>
          <w:kern w:val="0"/>
        </w:rPr>
        <w:t>水土保持设施验收完成后，应向社会公开验收情况，并向水土保持主管部门报送相关验收资料进行备案。</w:t>
      </w:r>
    </w:p>
    <w:p>
      <w:pPr>
        <w:pStyle w:val="3"/>
        <w:adjustRightInd w:val="0"/>
        <w:spacing w:before="0" w:after="0" w:line="360" w:lineRule="auto"/>
        <w:rPr>
          <w:rFonts w:ascii="Times New Roman" w:hAnsi="Times New Roman" w:eastAsia="仿宋_GB2312"/>
          <w:bCs w:val="0"/>
          <w:sz w:val="28"/>
          <w:szCs w:val="28"/>
        </w:rPr>
      </w:pPr>
      <w:bookmarkStart w:id="52" w:name="_Toc134801944"/>
      <w:r>
        <w:rPr>
          <w:rFonts w:ascii="Times New Roman" w:hAnsi="Times New Roman" w:eastAsia="仿宋_GB2312"/>
          <w:bCs w:val="0"/>
          <w:sz w:val="28"/>
          <w:szCs w:val="28"/>
        </w:rPr>
        <w:t>7.5 综合结论</w:t>
      </w:r>
      <w:bookmarkEnd w:id="52"/>
    </w:p>
    <w:p>
      <w:pPr>
        <w:autoSpaceDE w:val="0"/>
        <w:autoSpaceDN w:val="0"/>
        <w:adjustRightInd w:val="0"/>
        <w:spacing w:line="360" w:lineRule="auto"/>
        <w:ind w:firstLine="480" w:firstLineChars="200"/>
        <w:rPr>
          <w:rFonts w:eastAsia="仿宋_GB2312"/>
          <w:kern w:val="0"/>
          <w:sz w:val="24"/>
        </w:rPr>
        <w:sectPr>
          <w:headerReference r:id="rId20" w:type="default"/>
          <w:headerReference r:id="rId21" w:type="even"/>
          <w:pgSz w:w="11906" w:h="16838"/>
          <w:pgMar w:top="1701" w:right="1418" w:bottom="1701" w:left="1418" w:header="851" w:footer="992" w:gutter="0"/>
          <w:cols w:space="720" w:num="1"/>
          <w:docGrid w:linePitch="312" w:charSpace="0"/>
        </w:sectPr>
      </w:pPr>
      <w:r>
        <w:rPr>
          <w:rFonts w:eastAsia="仿宋_GB2312"/>
          <w:kern w:val="0"/>
          <w:sz w:val="24"/>
        </w:rPr>
        <w:t>根据本项目水土保持监测情况，通过项目建设实施水土保持措施工程量分析可知工程建设单位在施工过程中基本按照《水土保持方案报告书》设计的各项措施进行实施，工程完工后，项目区水土流失基本得到控制，工程建设过程中注重项目周边环境的保护，项目建设过程未造成大量的水土流失，工程建设过程土石方得到充分利用，六项指标除</w:t>
      </w:r>
      <w:r>
        <w:rPr>
          <w:rFonts w:eastAsia="仿宋_GB2312"/>
          <w:sz w:val="24"/>
        </w:rPr>
        <w:t>表土保护率不计外</w:t>
      </w:r>
      <w:r>
        <w:rPr>
          <w:rFonts w:eastAsia="仿宋_GB2312"/>
          <w:kern w:val="0"/>
          <w:sz w:val="24"/>
        </w:rPr>
        <w:t>全部达到《水土保持方案报告书》设计目标值，达到水土保持效果。</w:t>
      </w:r>
    </w:p>
    <w:p>
      <w:pPr>
        <w:pStyle w:val="47"/>
        <w:topLinePunct/>
        <w:adjustRightInd w:val="0"/>
        <w:spacing w:before="0" w:after="0" w:line="360" w:lineRule="auto"/>
        <w:jc w:val="both"/>
        <w:rPr>
          <w:rFonts w:eastAsia="仿宋_GB2312"/>
          <w:szCs w:val="36"/>
        </w:rPr>
      </w:pPr>
      <w:bookmarkStart w:id="53" w:name="_Toc134801945"/>
      <w:r>
        <w:rPr>
          <w:rFonts w:eastAsia="仿宋_GB2312"/>
          <w:szCs w:val="36"/>
        </w:rPr>
        <w:t xml:space="preserve">8 </w:t>
      </w:r>
      <w:r>
        <w:rPr>
          <w:rFonts w:hint="eastAsia" w:eastAsia="仿宋_GB2312"/>
          <w:szCs w:val="36"/>
          <w:lang w:eastAsia="zh-CN"/>
        </w:rPr>
        <w:t>附件及有关资料</w:t>
      </w:r>
      <w:bookmarkEnd w:id="53"/>
    </w:p>
    <w:p>
      <w:pPr>
        <w:pStyle w:val="3"/>
        <w:adjustRightInd w:val="0"/>
        <w:spacing w:before="0" w:after="0" w:line="360" w:lineRule="auto"/>
        <w:rPr>
          <w:rFonts w:ascii="Times New Roman" w:hAnsi="Times New Roman" w:eastAsia="仿宋_GB2312"/>
          <w:bCs w:val="0"/>
          <w:sz w:val="28"/>
          <w:szCs w:val="28"/>
        </w:rPr>
      </w:pPr>
      <w:bookmarkStart w:id="54" w:name="_Toc134801946"/>
      <w:r>
        <w:rPr>
          <w:rFonts w:ascii="Times New Roman" w:hAnsi="Times New Roman" w:eastAsia="仿宋_GB2312"/>
          <w:bCs w:val="0"/>
          <w:sz w:val="28"/>
          <w:szCs w:val="28"/>
        </w:rPr>
        <w:t xml:space="preserve">8.1 </w:t>
      </w:r>
      <w:r>
        <w:rPr>
          <w:rFonts w:hint="eastAsia" w:ascii="Times New Roman" w:hAnsi="Times New Roman" w:eastAsia="仿宋_GB2312"/>
          <w:bCs w:val="0"/>
          <w:sz w:val="28"/>
          <w:szCs w:val="28"/>
          <w:lang w:eastAsia="zh-CN"/>
        </w:rPr>
        <w:t>附件</w:t>
      </w:r>
      <w:bookmarkEnd w:id="54"/>
    </w:p>
    <w:p>
      <w:pPr>
        <w:adjustRightInd w:val="0"/>
        <w:spacing w:line="360" w:lineRule="auto"/>
        <w:ind w:firstLine="480" w:firstLineChars="200"/>
        <w:rPr>
          <w:rFonts w:eastAsia="仿宋_GB2312"/>
          <w:sz w:val="24"/>
          <w:szCs w:val="28"/>
        </w:rPr>
      </w:pPr>
      <w:r>
        <w:rPr>
          <w:rFonts w:eastAsia="仿宋_GB2312"/>
          <w:kern w:val="0"/>
          <w:sz w:val="24"/>
        </w:rPr>
        <w:t xml:space="preserve">附件1 </w:t>
      </w:r>
      <w:r>
        <w:rPr>
          <w:rFonts w:eastAsia="仿宋_GB2312"/>
          <w:sz w:val="24"/>
          <w:szCs w:val="28"/>
        </w:rPr>
        <w:t>渝经开改发科技发{2021}25号关于变更通江新城B02-42-3地块中学工程立项的批复</w:t>
      </w:r>
    </w:p>
    <w:p>
      <w:pPr>
        <w:topLinePunct/>
        <w:adjustRightInd w:val="0"/>
        <w:snapToGrid w:val="0"/>
        <w:spacing w:line="360" w:lineRule="auto"/>
        <w:ind w:firstLine="480" w:firstLineChars="200"/>
        <w:rPr>
          <w:rFonts w:eastAsia="仿宋_GB2312"/>
          <w:sz w:val="24"/>
        </w:rPr>
      </w:pPr>
      <w:r>
        <w:rPr>
          <w:rFonts w:eastAsia="仿宋_GB2312"/>
          <w:sz w:val="24"/>
        </w:rPr>
        <w:t xml:space="preserve">附件2 </w:t>
      </w:r>
      <w:r>
        <w:rPr>
          <w:rFonts w:hint="eastAsia" w:eastAsia="仿宋_GB2312"/>
          <w:sz w:val="24"/>
          <w:szCs w:val="28"/>
        </w:rPr>
        <w:t>建设用地规划许可证及附件</w:t>
      </w:r>
    </w:p>
    <w:p>
      <w:pPr>
        <w:topLinePunct/>
        <w:adjustRightInd w:val="0"/>
        <w:snapToGrid w:val="0"/>
        <w:spacing w:line="360" w:lineRule="auto"/>
        <w:ind w:firstLine="480" w:firstLineChars="200"/>
        <w:rPr>
          <w:rFonts w:eastAsia="仿宋_GB2312"/>
          <w:sz w:val="24"/>
        </w:rPr>
      </w:pPr>
      <w:r>
        <w:rPr>
          <w:rFonts w:eastAsia="仿宋_GB2312"/>
          <w:sz w:val="24"/>
        </w:rPr>
        <w:t xml:space="preserve">附件3 </w:t>
      </w:r>
      <w:r>
        <w:rPr>
          <w:rFonts w:hint="eastAsia" w:eastAsia="仿宋_GB2312"/>
          <w:sz w:val="24"/>
        </w:rPr>
        <w:t>通江新城中学选址意见书</w:t>
      </w:r>
    </w:p>
    <w:p>
      <w:pPr>
        <w:topLinePunct/>
        <w:adjustRightInd w:val="0"/>
        <w:snapToGrid w:val="0"/>
        <w:spacing w:line="360" w:lineRule="auto"/>
        <w:ind w:firstLine="480" w:firstLineChars="200"/>
        <w:rPr>
          <w:rFonts w:eastAsia="仿宋_GB2312"/>
          <w:sz w:val="24"/>
        </w:rPr>
      </w:pPr>
      <w:r>
        <w:rPr>
          <w:rFonts w:eastAsia="仿宋_GB2312"/>
          <w:sz w:val="24"/>
        </w:rPr>
        <w:t xml:space="preserve">附件4 </w:t>
      </w:r>
      <w:r>
        <w:rPr>
          <w:rFonts w:hint="eastAsia" w:eastAsia="仿宋_GB2312"/>
          <w:sz w:val="24"/>
        </w:rPr>
        <w:t>通江中学水保方案批复</w:t>
      </w:r>
    </w:p>
    <w:p>
      <w:pPr>
        <w:topLinePunct/>
        <w:adjustRightInd w:val="0"/>
        <w:snapToGrid w:val="0"/>
        <w:spacing w:line="360" w:lineRule="auto"/>
        <w:ind w:firstLine="480" w:firstLineChars="200"/>
        <w:rPr>
          <w:rFonts w:eastAsia="仿宋_GB2312"/>
          <w:sz w:val="24"/>
        </w:rPr>
      </w:pPr>
      <w:r>
        <w:rPr>
          <w:rFonts w:eastAsia="仿宋_GB2312"/>
          <w:sz w:val="24"/>
        </w:rPr>
        <w:t xml:space="preserve">附件5 </w:t>
      </w:r>
      <w:r>
        <w:rPr>
          <w:rFonts w:hint="eastAsia" w:eastAsia="仿宋_GB2312"/>
          <w:sz w:val="24"/>
        </w:rPr>
        <w:t>通江中学临建设施移交情况说明</w:t>
      </w:r>
    </w:p>
    <w:p>
      <w:pPr>
        <w:topLinePunct/>
        <w:adjustRightInd w:val="0"/>
        <w:snapToGrid w:val="0"/>
        <w:spacing w:line="360" w:lineRule="auto"/>
        <w:ind w:firstLine="480" w:firstLineChars="200"/>
        <w:rPr>
          <w:rFonts w:eastAsia="仿宋_GB2312"/>
          <w:sz w:val="24"/>
        </w:rPr>
      </w:pPr>
      <w:r>
        <w:rPr>
          <w:rFonts w:hint="eastAsia" w:eastAsia="仿宋_GB2312"/>
          <w:sz w:val="24"/>
        </w:rPr>
        <w:t>附件6</w:t>
      </w:r>
      <w:r>
        <w:rPr>
          <w:rFonts w:eastAsia="仿宋_GB2312"/>
          <w:sz w:val="24"/>
        </w:rPr>
        <w:t xml:space="preserve"> </w:t>
      </w:r>
      <w:r>
        <w:rPr>
          <w:rFonts w:hint="eastAsia" w:eastAsia="仿宋_GB2312"/>
          <w:sz w:val="24"/>
        </w:rPr>
        <w:t>经开区峡口镇土石方消纳场核准证</w:t>
      </w:r>
    </w:p>
    <w:p>
      <w:pPr>
        <w:topLinePunct/>
        <w:adjustRightInd w:val="0"/>
        <w:snapToGrid w:val="0"/>
        <w:spacing w:line="360" w:lineRule="auto"/>
        <w:ind w:firstLine="480" w:firstLineChars="200"/>
        <w:rPr>
          <w:rFonts w:eastAsia="仿宋_GB2312"/>
          <w:sz w:val="24"/>
        </w:rPr>
      </w:pPr>
      <w:r>
        <w:rPr>
          <w:rFonts w:hint="eastAsia" w:eastAsia="仿宋_GB2312"/>
          <w:sz w:val="24"/>
        </w:rPr>
        <w:t>附件7</w:t>
      </w:r>
      <w:r>
        <w:rPr>
          <w:rFonts w:eastAsia="仿宋_GB2312"/>
          <w:sz w:val="24"/>
        </w:rPr>
        <w:t xml:space="preserve"> </w:t>
      </w:r>
      <w:r>
        <w:rPr>
          <w:rFonts w:hint="eastAsia" w:eastAsia="仿宋_GB2312"/>
          <w:sz w:val="24"/>
        </w:rPr>
        <w:t>重庆市建筑垃圾处置核准证</w:t>
      </w:r>
    </w:p>
    <w:p>
      <w:pPr>
        <w:topLinePunct/>
        <w:adjustRightInd w:val="0"/>
        <w:snapToGrid w:val="0"/>
        <w:spacing w:line="360" w:lineRule="auto"/>
        <w:ind w:firstLine="480" w:firstLineChars="200"/>
        <w:rPr>
          <w:rFonts w:eastAsia="仿宋_GB2312"/>
          <w:sz w:val="24"/>
        </w:rPr>
      </w:pPr>
      <w:r>
        <w:rPr>
          <w:rFonts w:hint="eastAsia" w:eastAsia="仿宋_GB2312"/>
          <w:sz w:val="24"/>
        </w:rPr>
        <w:t>附件8</w:t>
      </w:r>
      <w:r>
        <w:rPr>
          <w:rFonts w:eastAsia="仿宋_GB2312"/>
          <w:sz w:val="24"/>
        </w:rPr>
        <w:t xml:space="preserve"> </w:t>
      </w:r>
      <w:r>
        <w:rPr>
          <w:rFonts w:hint="eastAsia" w:eastAsia="仿宋_GB2312"/>
          <w:sz w:val="24"/>
        </w:rPr>
        <w:t>监测影像资料</w:t>
      </w:r>
    </w:p>
    <w:p>
      <w:pPr>
        <w:topLinePunct/>
        <w:adjustRightInd w:val="0"/>
        <w:snapToGrid w:val="0"/>
        <w:spacing w:line="360" w:lineRule="auto"/>
        <w:ind w:firstLine="480" w:firstLineChars="200"/>
        <w:rPr>
          <w:rFonts w:eastAsia="仿宋_GB2312"/>
          <w:sz w:val="24"/>
        </w:rPr>
      </w:pPr>
      <w:r>
        <w:rPr>
          <w:rFonts w:hint="eastAsia" w:eastAsia="仿宋_GB2312"/>
          <w:sz w:val="24"/>
        </w:rPr>
        <w:t>附件9</w:t>
      </w:r>
      <w:r>
        <w:rPr>
          <w:rFonts w:eastAsia="仿宋_GB2312"/>
          <w:sz w:val="24"/>
        </w:rPr>
        <w:t xml:space="preserve"> </w:t>
      </w:r>
      <w:r>
        <w:rPr>
          <w:rFonts w:hint="eastAsia" w:eastAsia="仿宋_GB2312"/>
          <w:sz w:val="24"/>
        </w:rPr>
        <w:t>监测季报</w:t>
      </w:r>
    </w:p>
    <w:p>
      <w:pPr>
        <w:pStyle w:val="3"/>
        <w:adjustRightInd w:val="0"/>
        <w:spacing w:before="0" w:after="0" w:line="360" w:lineRule="auto"/>
        <w:rPr>
          <w:rFonts w:ascii="Times New Roman" w:hAnsi="Times New Roman" w:eastAsia="仿宋_GB2312"/>
          <w:bCs w:val="0"/>
          <w:sz w:val="28"/>
          <w:szCs w:val="28"/>
          <w:lang w:eastAsia="zh-CN"/>
        </w:rPr>
      </w:pPr>
      <w:bookmarkStart w:id="55" w:name="_Toc134801947"/>
      <w:r>
        <w:rPr>
          <w:rFonts w:ascii="Times New Roman" w:hAnsi="Times New Roman" w:eastAsia="仿宋_GB2312"/>
          <w:bCs w:val="0"/>
          <w:sz w:val="28"/>
          <w:szCs w:val="28"/>
        </w:rPr>
        <w:t xml:space="preserve">8.2 </w:t>
      </w:r>
      <w:r>
        <w:rPr>
          <w:rFonts w:hint="eastAsia" w:ascii="Times New Roman" w:hAnsi="Times New Roman" w:eastAsia="仿宋_GB2312"/>
          <w:bCs w:val="0"/>
          <w:sz w:val="28"/>
          <w:szCs w:val="28"/>
          <w:lang w:eastAsia="zh-CN"/>
        </w:rPr>
        <w:t>附图</w:t>
      </w:r>
      <w:bookmarkEnd w:id="55"/>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附图1 项目地理位置图</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附图2 项目区水系图</w:t>
      </w:r>
    </w:p>
    <w:p>
      <w:pPr>
        <w:autoSpaceDE w:val="0"/>
        <w:autoSpaceDN w:val="0"/>
        <w:adjustRightInd w:val="0"/>
        <w:spacing w:line="360" w:lineRule="auto"/>
        <w:ind w:firstLine="480" w:firstLineChars="200"/>
        <w:rPr>
          <w:rFonts w:eastAsia="仿宋_GB2312"/>
          <w:kern w:val="0"/>
          <w:sz w:val="24"/>
        </w:rPr>
      </w:pPr>
      <w:r>
        <w:rPr>
          <w:rFonts w:eastAsia="仿宋_GB2312"/>
          <w:kern w:val="0"/>
          <w:sz w:val="24"/>
        </w:rPr>
        <w:t xml:space="preserve">附图3 </w:t>
      </w:r>
      <w:r>
        <w:rPr>
          <w:rFonts w:hint="eastAsia" w:eastAsia="仿宋_GB2312"/>
          <w:kern w:val="0"/>
          <w:sz w:val="24"/>
        </w:rPr>
        <w:t>防治责任范围及措施</w:t>
      </w:r>
      <w:r>
        <w:rPr>
          <w:rFonts w:eastAsia="仿宋_GB2312"/>
          <w:kern w:val="0"/>
          <w:sz w:val="24"/>
        </w:rPr>
        <w:t>图</w:t>
      </w:r>
    </w:p>
    <w:sectPr>
      <w:headerReference r:id="rId22" w:type="default"/>
      <w:headerReference r:id="rId23" w:type="even"/>
      <w:pgSz w:w="11906" w:h="16838"/>
      <w:pgMar w:top="1701" w:right="1418" w:bottom="170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893891"/>
      <w:docPartObj>
        <w:docPartGallery w:val="AutoText"/>
      </w:docPartObj>
    </w:sdtPr>
    <w:sdtContent>
      <w:p>
        <w:pPr>
          <w:pStyle w:val="15"/>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816362"/>
      <w:docPartObj>
        <w:docPartGallery w:val="AutoText"/>
      </w:docPartObj>
    </w:sdtPr>
    <w:sdtContent>
      <w:p>
        <w:pPr>
          <w:pStyle w:val="15"/>
          <w:jc w:val="center"/>
        </w:pPr>
        <w:r>
          <w:fldChar w:fldCharType="begin"/>
        </w:r>
        <w:r>
          <w:instrText xml:space="preserve">PAGE   \* MERGEFORMAT</w:instrText>
        </w:r>
        <w:r>
          <w:fldChar w:fldCharType="separate"/>
        </w:r>
        <w:r>
          <w:rPr>
            <w:lang w:val="zh-CN" w:eastAsia="zh-CN"/>
          </w:rPr>
          <w:t>2</w:t>
        </w:r>
        <w:r>
          <w:fldChar w:fldCharType="end"/>
        </w:r>
      </w:p>
    </w:sdtContent>
  </w:sdt>
  <w:p>
    <w:pPr>
      <w:pStyle w:val="15"/>
      <w:pBdr>
        <w:top w:val="single" w:color="auto" w:sz="4" w:space="1"/>
      </w:pBdr>
      <w:jc w:val="center"/>
      <w:rPr>
        <w:rFonts w:ascii="仿宋_GB2312" w:eastAsia="仿宋_GB2312"/>
        <w:sz w:val="21"/>
        <w:szCs w:val="21"/>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9836058"/>
      <w:docPartObj>
        <w:docPartGallery w:val="AutoText"/>
      </w:docPartObj>
    </w:sdtPr>
    <w:sdtContent>
      <w:p>
        <w:pPr>
          <w:pStyle w:val="15"/>
          <w:jc w:val="center"/>
        </w:pPr>
        <w:r>
          <w:fldChar w:fldCharType="begin"/>
        </w:r>
        <w:r>
          <w:instrText xml:space="preserve">PAGE   \* MERGEFORMAT</w:instrText>
        </w:r>
        <w:r>
          <w:fldChar w:fldCharType="separate"/>
        </w:r>
        <w:r>
          <w:rPr>
            <w:lang w:val="zh-CN" w:eastAsia="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rPr>
      <w:t>4 水土流失防治措施监测结果</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lang w:eastAsia="zh-CN"/>
      </w:rPr>
      <w:t xml:space="preserve">  </w:t>
    </w:r>
    <w:r>
      <w:rPr>
        <w:rFonts w:ascii="仿宋_GB2312" w:eastAsia="仿宋_GB2312"/>
        <w:spacing w:val="-14"/>
        <w:kern w:val="0"/>
        <w:sz w:val="21"/>
        <w:szCs w:val="21"/>
        <w:lang w:eastAsia="zh-CN"/>
      </w:rPr>
      <w:t xml:space="preserve">      </w:t>
    </w:r>
    <w:r>
      <w:rPr>
        <w:rFonts w:ascii="仿宋_GB2312" w:eastAsia="仿宋_GB2312"/>
        <w:spacing w:val="-14"/>
        <w:kern w:val="0"/>
        <w:sz w:val="21"/>
        <w:szCs w:val="21"/>
      </w:rPr>
      <w:t xml:space="preserve">   </w:t>
    </w:r>
    <w:r>
      <w:rPr>
        <w:rFonts w:ascii="仿宋_GB2312" w:eastAsia="仿宋_GB2312"/>
        <w:spacing w:val="-14"/>
        <w:kern w:val="0"/>
      </w:rPr>
      <w:t xml:space="preserve">5 </w:t>
    </w:r>
    <w:r>
      <w:rPr>
        <w:rFonts w:hint="eastAsia" w:ascii="仿宋_GB2312" w:eastAsia="仿宋_GB2312"/>
        <w:spacing w:val="-14"/>
        <w:kern w:val="0"/>
        <w:lang w:eastAsia="zh-CN"/>
      </w:rPr>
      <w:t>土壤流失情况监测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ascii="仿宋_GB2312" w:eastAsia="仿宋_GB2312"/>
        <w:spacing w:val="-14"/>
        <w:kern w:val="0"/>
      </w:rPr>
      <w:t>5</w:t>
    </w:r>
    <w:r>
      <w:rPr>
        <w:rFonts w:hint="eastAsia" w:ascii="仿宋_GB2312" w:eastAsia="仿宋_GB2312"/>
        <w:spacing w:val="-14"/>
        <w:kern w:val="0"/>
      </w:rPr>
      <w:t xml:space="preserve"> </w:t>
    </w:r>
    <w:r>
      <w:rPr>
        <w:rFonts w:hint="eastAsia" w:ascii="仿宋_GB2312" w:eastAsia="仿宋_GB2312"/>
        <w:spacing w:val="-14"/>
        <w:kern w:val="0"/>
        <w:lang w:eastAsia="zh-CN"/>
      </w:rPr>
      <w:t>土壤流失情况监测</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rPr>
      <w:t>6 水土流失防治效果监测结果</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rPr>
      <w:t>6 水土流失防治效果监测结果</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lang w:eastAsia="zh-CN"/>
      </w:rPr>
      <w:t xml:space="preserve">   </w:t>
    </w:r>
    <w:r>
      <w:rPr>
        <w:rFonts w:ascii="仿宋_GB2312" w:eastAsia="仿宋_GB2312"/>
        <w:spacing w:val="-14"/>
        <w:kern w:val="0"/>
        <w:sz w:val="21"/>
        <w:szCs w:val="21"/>
        <w:lang w:eastAsia="zh-CN"/>
      </w:rPr>
      <w:t xml:space="preserve">                           </w:t>
    </w:r>
    <w:r>
      <w:rPr>
        <w:rFonts w:hint="eastAsia" w:ascii="仿宋_GB2312" w:eastAsia="仿宋_GB2312"/>
        <w:spacing w:val="-14"/>
        <w:kern w:val="0"/>
        <w:sz w:val="21"/>
        <w:szCs w:val="21"/>
        <w:lang w:eastAsia="zh-CN"/>
      </w:rPr>
      <w:t xml:space="preserve">  </w:t>
    </w:r>
    <w:r>
      <w:rPr>
        <w:rFonts w:ascii="仿宋_GB2312" w:eastAsia="仿宋_GB2312"/>
        <w:spacing w:val="-14"/>
        <w:kern w:val="0"/>
        <w:sz w:val="21"/>
        <w:szCs w:val="21"/>
      </w:rPr>
      <w:t xml:space="preserve">                          </w:t>
    </w:r>
    <w:r>
      <w:rPr>
        <w:rFonts w:ascii="仿宋_GB2312" w:eastAsia="仿宋_GB2312"/>
        <w:spacing w:val="-14"/>
        <w:kern w:val="0"/>
      </w:rPr>
      <w:t xml:space="preserve">7 </w:t>
    </w:r>
    <w:r>
      <w:rPr>
        <w:rFonts w:hint="eastAsia" w:ascii="仿宋_GB2312" w:eastAsia="仿宋_GB2312"/>
        <w:spacing w:val="-14"/>
        <w:kern w:val="0"/>
        <w:lang w:eastAsia="zh-CN"/>
      </w:rPr>
      <w:t>结论</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lang w:eastAsia="zh-CN"/>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rPr>
      <w:t xml:space="preserve"> </w:t>
    </w:r>
    <w:r>
      <w:rPr>
        <w:rFonts w:hint="eastAsia" w:ascii="仿宋_GB2312" w:eastAsia="仿宋_GB2312"/>
        <w:spacing w:val="-14"/>
        <w:kern w:val="0"/>
        <w:lang w:eastAsia="zh-CN"/>
      </w:rPr>
      <w:t>7</w:t>
    </w:r>
    <w:r>
      <w:rPr>
        <w:rFonts w:ascii="仿宋_GB2312" w:eastAsia="仿宋_GB2312"/>
        <w:spacing w:val="-14"/>
        <w:kern w:val="0"/>
        <w:lang w:eastAsia="zh-CN"/>
      </w:rPr>
      <w:t xml:space="preserve"> </w:t>
    </w:r>
    <w:r>
      <w:rPr>
        <w:rFonts w:hint="eastAsia" w:ascii="仿宋_GB2312" w:eastAsia="仿宋_GB2312"/>
        <w:spacing w:val="-14"/>
        <w:kern w:val="0"/>
        <w:lang w:eastAsia="zh-CN"/>
      </w:rPr>
      <w:t>结论</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hint="eastAsia" w:ascii="仿宋_GB2312" w:eastAsia="仿宋_GB2312"/>
        <w:spacing w:val="-14"/>
        <w:kern w:val="0"/>
        <w:sz w:val="21"/>
        <w:szCs w:val="21"/>
        <w:lang w:eastAsia="zh-CN"/>
      </w:rPr>
      <w:t xml:space="preserve">     </w:t>
    </w:r>
    <w:r>
      <w:rPr>
        <w:rFonts w:ascii="仿宋_GB2312" w:eastAsia="仿宋_GB2312"/>
        <w:spacing w:val="-14"/>
        <w:kern w:val="0"/>
        <w:sz w:val="21"/>
        <w:szCs w:val="21"/>
        <w:lang w:eastAsia="zh-CN"/>
      </w:rPr>
      <w:t xml:space="preserve">                           </w:t>
    </w:r>
    <w:r>
      <w:rPr>
        <w:rFonts w:ascii="仿宋_GB2312" w:eastAsia="仿宋_GB2312"/>
        <w:spacing w:val="-14"/>
        <w:kern w:val="0"/>
        <w:sz w:val="21"/>
        <w:szCs w:val="21"/>
      </w:rPr>
      <w:t xml:space="preserve">                   </w:t>
    </w:r>
    <w:r>
      <w:rPr>
        <w:rFonts w:ascii="仿宋_GB2312" w:eastAsia="仿宋_GB2312"/>
        <w:spacing w:val="-14"/>
        <w:kern w:val="0"/>
      </w:rPr>
      <w:t>8 附件及有关资料</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lang w:eastAsia="zh-CN"/>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ascii="仿宋_GB2312" w:eastAsia="仿宋_GB2312"/>
        <w:spacing w:val="-14"/>
        <w:kern w:val="0"/>
        <w:lang w:eastAsia="zh-CN"/>
      </w:rPr>
      <w:t xml:space="preserve">8 </w:t>
    </w:r>
    <w:r>
      <w:rPr>
        <w:rFonts w:hint="eastAsia" w:ascii="仿宋_GB2312" w:eastAsia="仿宋_GB2312"/>
        <w:spacing w:val="-14"/>
        <w:kern w:val="0"/>
        <w:lang w:eastAsia="zh-CN"/>
      </w:rPr>
      <w:t>附图及有关资料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1"/>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1"/>
        <w:kern w:val="0"/>
        <w:sz w:val="21"/>
        <w:szCs w:val="21"/>
      </w:rPr>
      <w:t xml:space="preserve">         </w:t>
    </w:r>
    <w:r>
      <w:rPr>
        <w:rFonts w:ascii="仿宋_GB2312" w:eastAsia="仿宋_GB2312"/>
        <w:spacing w:val="-11"/>
        <w:kern w:val="0"/>
        <w:sz w:val="21"/>
        <w:szCs w:val="21"/>
      </w:rPr>
      <w:t xml:space="preserve">                                               </w:t>
    </w:r>
    <w:r>
      <w:rPr>
        <w:rFonts w:hint="eastAsia" w:ascii="仿宋_GB2312" w:eastAsia="仿宋_GB2312"/>
        <w:spacing w:val="-11"/>
        <w:kern w:val="0"/>
        <w:sz w:val="21"/>
        <w:szCs w:val="21"/>
      </w:rPr>
      <w:t xml:space="preserve"> </w:t>
    </w:r>
    <w:r>
      <w:rPr>
        <w:rFonts w:ascii="仿宋_GB2312" w:eastAsia="仿宋_GB2312"/>
        <w:spacing w:val="-11"/>
        <w:kern w:val="0"/>
        <w:sz w:val="21"/>
        <w:szCs w:val="21"/>
      </w:rPr>
      <w:t xml:space="preserve">    </w:t>
    </w:r>
    <w:r>
      <w:rPr>
        <w:rFonts w:hint="eastAsia" w:ascii="仿宋_GB2312" w:eastAsia="仿宋_GB2312"/>
        <w:spacing w:val="-14"/>
        <w:kern w:val="0"/>
        <w:lang w:eastAsia="zh-CN"/>
      </w:rPr>
      <w:t>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1"/>
        <w:kern w:val="0"/>
        <w:sz w:val="21"/>
        <w:szCs w:val="21"/>
      </w:rPr>
      <w:t xml:space="preserve">         </w:t>
    </w:r>
    <w:r>
      <w:rPr>
        <w:rFonts w:ascii="仿宋_GB2312" w:eastAsia="仿宋_GB2312"/>
        <w:spacing w:val="-11"/>
        <w:kern w:val="0"/>
        <w:sz w:val="21"/>
        <w:szCs w:val="21"/>
      </w:rPr>
      <w:t xml:space="preserve">                         </w:t>
    </w:r>
    <w:r>
      <w:rPr>
        <w:rFonts w:hint="eastAsia" w:ascii="仿宋_GB2312" w:eastAsia="仿宋_GB2312"/>
        <w:spacing w:val="-11"/>
        <w:kern w:val="0"/>
        <w:sz w:val="21"/>
        <w:szCs w:val="21"/>
      </w:rPr>
      <w:t xml:space="preserve"> </w:t>
    </w:r>
    <w:r>
      <w:rPr>
        <w:rFonts w:ascii="仿宋_GB2312" w:eastAsia="仿宋_GB2312"/>
        <w:spacing w:val="-11"/>
        <w:kern w:val="0"/>
        <w:sz w:val="21"/>
        <w:szCs w:val="21"/>
      </w:rPr>
      <w:t xml:space="preserve">    </w:t>
    </w:r>
    <w:r>
      <w:rPr>
        <w:rFonts w:ascii="仿宋_GB2312" w:eastAsia="仿宋_GB2312"/>
        <w:spacing w:val="-14"/>
        <w:kern w:val="0"/>
      </w:rPr>
      <w:t xml:space="preserve">1 </w:t>
    </w:r>
    <w:r>
      <w:rPr>
        <w:rFonts w:hint="eastAsia" w:ascii="仿宋_GB2312" w:eastAsia="仿宋_GB2312"/>
        <w:spacing w:val="-14"/>
        <w:kern w:val="0"/>
        <w:lang w:eastAsia="zh-CN"/>
      </w:rPr>
      <w:t>建设</w:t>
    </w:r>
    <w:r>
      <w:rPr>
        <w:rFonts w:ascii="仿宋_GB2312" w:eastAsia="仿宋_GB2312"/>
        <w:spacing w:val="-14"/>
        <w:kern w:val="0"/>
      </w:rPr>
      <w:t>项目及水土</w:t>
    </w:r>
    <w:r>
      <w:rPr>
        <w:rFonts w:hint="eastAsia" w:ascii="仿宋_GB2312" w:eastAsia="仿宋_GB2312"/>
        <w:spacing w:val="-14"/>
        <w:kern w:val="0"/>
        <w:lang w:eastAsia="zh-CN"/>
      </w:rPr>
      <w:t>保持</w:t>
    </w:r>
    <w:r>
      <w:rPr>
        <w:rFonts w:ascii="仿宋_GB2312" w:eastAsia="仿宋_GB2312"/>
        <w:spacing w:val="-14"/>
        <w:kern w:val="0"/>
      </w:rPr>
      <w:t>工作概况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lang w:eastAsia="zh-CN"/>
      </w:rPr>
      <w:t xml:space="preserve">  </w:t>
    </w:r>
    <w:r>
      <w:rPr>
        <w:rFonts w:ascii="仿宋_GB2312" w:eastAsia="仿宋_GB2312"/>
        <w:spacing w:val="-14"/>
        <w:kern w:val="0"/>
        <w:sz w:val="21"/>
        <w:szCs w:val="21"/>
        <w:lang w:eastAsia="zh-CN"/>
      </w:rPr>
      <w:t xml:space="preserve">                                          </w:t>
    </w:r>
    <w:r>
      <w:rPr>
        <w:rFonts w:ascii="仿宋_GB2312" w:eastAsia="仿宋_GB2312"/>
        <w:spacing w:val="-14"/>
        <w:kern w:val="0"/>
        <w:sz w:val="21"/>
        <w:szCs w:val="21"/>
      </w:rPr>
      <w:t xml:space="preserve">   </w:t>
    </w:r>
    <w:r>
      <w:rPr>
        <w:rFonts w:hint="eastAsia" w:ascii="仿宋_GB2312" w:eastAsia="仿宋_GB2312"/>
        <w:spacing w:val="-14"/>
        <w:kern w:val="0"/>
      </w:rPr>
      <w:t xml:space="preserve"> </w:t>
    </w:r>
    <w:r>
      <w:rPr>
        <w:rFonts w:ascii="仿宋_GB2312" w:eastAsia="仿宋_GB2312"/>
        <w:spacing w:val="-14"/>
        <w:kern w:val="0"/>
      </w:rPr>
      <w:t xml:space="preserve">2 </w:t>
    </w:r>
    <w:r>
      <w:rPr>
        <w:rFonts w:hint="eastAsia" w:ascii="仿宋_GB2312" w:eastAsia="仿宋_GB2312"/>
        <w:spacing w:val="-14"/>
        <w:kern w:val="0"/>
        <w:lang w:eastAsia="zh-CN"/>
      </w:rPr>
      <w:t>监测内容与方法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lang w:eastAsia="zh-CN"/>
      </w:rPr>
      <w:t xml:space="preserve"> </w:t>
    </w:r>
    <w:r>
      <w:rPr>
        <w:rFonts w:ascii="仿宋_GB2312" w:eastAsia="仿宋_GB2312"/>
        <w:spacing w:val="-14"/>
        <w:kern w:val="0"/>
        <w:sz w:val="21"/>
        <w:szCs w:val="21"/>
        <w:lang w:eastAsia="zh-CN"/>
      </w:rPr>
      <w:t xml:space="preserve">                                   </w:t>
    </w:r>
    <w:r>
      <w:rPr>
        <w:rFonts w:hint="eastAsia" w:ascii="仿宋_GB2312" w:eastAsia="仿宋_GB2312"/>
        <w:spacing w:val="-14"/>
        <w:kern w:val="0"/>
        <w:sz w:val="21"/>
        <w:szCs w:val="21"/>
        <w:lang w:eastAsia="zh-CN"/>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rPr>
      <w:t xml:space="preserve"> </w:t>
    </w:r>
    <w:r>
      <w:rPr>
        <w:rFonts w:hint="eastAsia" w:ascii="仿宋_GB2312" w:eastAsia="仿宋_GB2312"/>
        <w:spacing w:val="-14"/>
        <w:kern w:val="0"/>
      </w:rPr>
      <w:t xml:space="preserve"> </w:t>
    </w:r>
    <w:r>
      <w:rPr>
        <w:rFonts w:ascii="仿宋_GB2312" w:eastAsia="仿宋_GB2312"/>
        <w:spacing w:val="-14"/>
        <w:kern w:val="0"/>
      </w:rPr>
      <w:t xml:space="preserve">2 </w:t>
    </w:r>
    <w:r>
      <w:rPr>
        <w:rFonts w:hint="eastAsia" w:ascii="仿宋_GB2312" w:eastAsia="仿宋_GB2312"/>
        <w:spacing w:val="-14"/>
        <w:kern w:val="0"/>
        <w:lang w:eastAsia="zh-CN"/>
      </w:rPr>
      <w:t>监测内容与方法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rPr>
      <w:t xml:space="preserve"> </w:t>
    </w:r>
    <w:r>
      <w:rPr>
        <w:rFonts w:ascii="仿宋_GB2312" w:eastAsia="仿宋_GB2312"/>
        <w:spacing w:val="-14"/>
        <w:kern w:val="0"/>
      </w:rPr>
      <w:t xml:space="preserve">3 </w:t>
    </w:r>
    <w:r>
      <w:rPr>
        <w:rFonts w:hint="eastAsia" w:ascii="仿宋_GB2312" w:eastAsia="仿宋_GB2312"/>
        <w:spacing w:val="-14"/>
        <w:kern w:val="0"/>
        <w:lang w:eastAsia="zh-CN"/>
      </w:rPr>
      <w:t>重点部位水土流失动态监测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ascii="仿宋_GB2312" w:eastAsia="仿宋_GB2312"/>
        <w:spacing w:val="-14"/>
        <w:kern w:val="0"/>
      </w:rPr>
      <w:t xml:space="preserve">3 </w:t>
    </w:r>
    <w:r>
      <w:rPr>
        <w:rFonts w:hint="eastAsia" w:ascii="仿宋_GB2312" w:eastAsia="仿宋_GB2312"/>
        <w:spacing w:val="-14"/>
        <w:kern w:val="0"/>
        <w:lang w:eastAsia="zh-CN"/>
      </w:rPr>
      <w:t>重点部位水土流失动态监测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仿宋_GB2312" w:eastAsia="仿宋_GB2312"/>
        <w:spacing w:val="-14"/>
        <w:sz w:val="21"/>
        <w:szCs w:val="21"/>
      </w:rPr>
    </w:pPr>
    <w:r>
      <w:rPr>
        <w:rFonts w:hint="eastAsia" w:eastAsia="仿宋_GB2312"/>
        <w:spacing w:val="-14"/>
        <w:lang w:eastAsia="zh-CN"/>
      </w:rPr>
      <w:t>通江新城B02-42-3地块中学工程</w:t>
    </w:r>
    <w:r>
      <w:rPr>
        <w:rFonts w:hint="eastAsia" w:ascii="仿宋_GB2312" w:eastAsia="仿宋_GB2312"/>
        <w:spacing w:val="-14"/>
        <w:kern w:val="0"/>
      </w:rPr>
      <w:t>水土保持监测总结报告</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sz w:val="21"/>
        <w:szCs w:val="21"/>
      </w:rPr>
      <w:t xml:space="preserve"> </w:t>
    </w:r>
    <w:r>
      <w:rPr>
        <w:rFonts w:ascii="仿宋_GB2312" w:eastAsia="仿宋_GB2312"/>
        <w:spacing w:val="-14"/>
        <w:kern w:val="0"/>
        <w:sz w:val="21"/>
        <w:szCs w:val="21"/>
      </w:rPr>
      <w:t xml:space="preserve">                                   </w:t>
    </w:r>
    <w:r>
      <w:rPr>
        <w:rFonts w:hint="eastAsia" w:ascii="仿宋_GB2312" w:eastAsia="仿宋_GB2312"/>
        <w:spacing w:val="-14"/>
        <w:kern w:val="0"/>
      </w:rPr>
      <w:t>4 水土流失防治措施监测结果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5A8C"/>
    <w:multiLevelType w:val="multilevel"/>
    <w:tmpl w:val="04445A8C"/>
    <w:lvl w:ilvl="0" w:tentative="0">
      <w:start w:val="1"/>
      <w:numFmt w:val="decimal"/>
      <w:suff w:val="nothing"/>
      <w:lvlText w:val="%1）"/>
      <w:lvlJc w:val="left"/>
      <w:pPr>
        <w:ind w:left="1360" w:hanging="420"/>
      </w:pPr>
      <w:rPr>
        <w:rFonts w:hint="eastAsia" w:eastAsia="宋体"/>
      </w:rPr>
    </w:lvl>
    <w:lvl w:ilvl="1" w:tentative="0">
      <w:start w:val="1"/>
      <w:numFmt w:val="decimalEnclosedCircle"/>
      <w:lvlText w:val="%2"/>
      <w:lvlJc w:val="left"/>
      <w:pPr>
        <w:ind w:left="1490" w:hanging="360"/>
      </w:pPr>
      <w:rPr>
        <w:rFonts w:hint="default" w:ascii="宋体" w:hAnsi="宋体" w:eastAsia="宋体" w:cs="宋体"/>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0C8A29AA"/>
    <w:multiLevelType w:val="multilevel"/>
    <w:tmpl w:val="0C8A29AA"/>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15C670AC"/>
    <w:multiLevelType w:val="multilevel"/>
    <w:tmpl w:val="15C670AC"/>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AA01C4D"/>
    <w:multiLevelType w:val="multilevel"/>
    <w:tmpl w:val="1AA01C4D"/>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1B733DA2"/>
    <w:multiLevelType w:val="multilevel"/>
    <w:tmpl w:val="1B733DA2"/>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1CEE114D"/>
    <w:multiLevelType w:val="multilevel"/>
    <w:tmpl w:val="1CEE114D"/>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2DE97066"/>
    <w:multiLevelType w:val="multilevel"/>
    <w:tmpl w:val="2DE97066"/>
    <w:lvl w:ilvl="0" w:tentative="0">
      <w:start w:val="1"/>
      <w:numFmt w:val="decimal"/>
      <w:suff w:val="nothing"/>
      <w:lvlText w:val="%1）"/>
      <w:lvlJc w:val="left"/>
      <w:pPr>
        <w:ind w:left="900" w:hanging="4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1060326"/>
    <w:multiLevelType w:val="multilevel"/>
    <w:tmpl w:val="31060326"/>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337F4D23"/>
    <w:multiLevelType w:val="multilevel"/>
    <w:tmpl w:val="337F4D23"/>
    <w:lvl w:ilvl="0" w:tentative="0">
      <w:start w:val="1"/>
      <w:numFmt w:val="decimal"/>
      <w:suff w:val="nothing"/>
      <w:lvlText w:val="（%1）"/>
      <w:lvlJc w:val="left"/>
      <w:pPr>
        <w:ind w:left="113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C9C72F9"/>
    <w:multiLevelType w:val="multilevel"/>
    <w:tmpl w:val="3C9C72F9"/>
    <w:lvl w:ilvl="0" w:tentative="0">
      <w:start w:val="1"/>
      <w:numFmt w:val="decimal"/>
      <w:suff w:val="nothing"/>
      <w:lvlText w:val="%1）"/>
      <w:lvlJc w:val="left"/>
      <w:pPr>
        <w:ind w:left="1130" w:hanging="420"/>
      </w:pPr>
      <w:rPr>
        <w:rFonts w:hint="eastAsia" w:eastAsia="宋体"/>
      </w:rPr>
    </w:lvl>
    <w:lvl w:ilvl="1" w:tentative="0">
      <w:start w:val="1"/>
      <w:numFmt w:val="decimalEnclosedCircle"/>
      <w:lvlText w:val="%2"/>
      <w:lvlJc w:val="left"/>
      <w:pPr>
        <w:ind w:left="410" w:hanging="360"/>
      </w:pPr>
      <w:rPr>
        <w:rFonts w:hint="default" w:ascii="宋体" w:hAnsi="宋体" w:eastAsia="宋体" w:cs="宋体"/>
      </w:rPr>
    </w:lvl>
    <w:lvl w:ilvl="2" w:tentative="0">
      <w:start w:val="1"/>
      <w:numFmt w:val="lowerRoman"/>
      <w:lvlText w:val="%3."/>
      <w:lvlJc w:val="right"/>
      <w:pPr>
        <w:ind w:left="890" w:hanging="420"/>
      </w:pPr>
    </w:lvl>
    <w:lvl w:ilvl="3" w:tentative="0">
      <w:start w:val="1"/>
      <w:numFmt w:val="decimal"/>
      <w:lvlText w:val="%4."/>
      <w:lvlJc w:val="left"/>
      <w:pPr>
        <w:ind w:left="1310" w:hanging="420"/>
      </w:pPr>
    </w:lvl>
    <w:lvl w:ilvl="4" w:tentative="0">
      <w:start w:val="1"/>
      <w:numFmt w:val="lowerLetter"/>
      <w:lvlText w:val="%5)"/>
      <w:lvlJc w:val="left"/>
      <w:pPr>
        <w:ind w:left="1730" w:hanging="420"/>
      </w:pPr>
    </w:lvl>
    <w:lvl w:ilvl="5" w:tentative="0">
      <w:start w:val="1"/>
      <w:numFmt w:val="lowerRoman"/>
      <w:lvlText w:val="%6."/>
      <w:lvlJc w:val="right"/>
      <w:pPr>
        <w:ind w:left="2150" w:hanging="420"/>
      </w:pPr>
    </w:lvl>
    <w:lvl w:ilvl="6" w:tentative="0">
      <w:start w:val="1"/>
      <w:numFmt w:val="decimal"/>
      <w:lvlText w:val="%7."/>
      <w:lvlJc w:val="left"/>
      <w:pPr>
        <w:ind w:left="2570" w:hanging="420"/>
      </w:pPr>
    </w:lvl>
    <w:lvl w:ilvl="7" w:tentative="0">
      <w:start w:val="1"/>
      <w:numFmt w:val="lowerLetter"/>
      <w:lvlText w:val="%8)"/>
      <w:lvlJc w:val="left"/>
      <w:pPr>
        <w:ind w:left="2990" w:hanging="420"/>
      </w:pPr>
    </w:lvl>
    <w:lvl w:ilvl="8" w:tentative="0">
      <w:start w:val="1"/>
      <w:numFmt w:val="lowerRoman"/>
      <w:lvlText w:val="%9."/>
      <w:lvlJc w:val="right"/>
      <w:pPr>
        <w:ind w:left="3410" w:hanging="420"/>
      </w:pPr>
    </w:lvl>
  </w:abstractNum>
  <w:abstractNum w:abstractNumId="10">
    <w:nsid w:val="48C74987"/>
    <w:multiLevelType w:val="multilevel"/>
    <w:tmpl w:val="48C74987"/>
    <w:lvl w:ilvl="0" w:tentative="0">
      <w:start w:val="1"/>
      <w:numFmt w:val="decimal"/>
      <w:suff w:val="nothing"/>
      <w:lvlText w:val="%1）"/>
      <w:lvlJc w:val="left"/>
      <w:pPr>
        <w:ind w:left="1130" w:hanging="420"/>
      </w:pPr>
      <w:rPr>
        <w:rFonts w:hint="eastAsia" w:eastAsia="宋体"/>
      </w:rPr>
    </w:lvl>
    <w:lvl w:ilvl="1" w:tentative="0">
      <w:start w:val="1"/>
      <w:numFmt w:val="decimalEnclosedCircle"/>
      <w:lvlText w:val="%2"/>
      <w:lvlJc w:val="left"/>
      <w:pPr>
        <w:ind w:left="1260" w:hanging="360"/>
      </w:pPr>
      <w:rPr>
        <w:rFonts w:hint="default" w:ascii="宋体" w:hAnsi="宋体" w:eastAsia="宋体" w:cs="宋体"/>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7700551"/>
    <w:multiLevelType w:val="multilevel"/>
    <w:tmpl w:val="67700551"/>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690958EF"/>
    <w:multiLevelType w:val="multilevel"/>
    <w:tmpl w:val="690958EF"/>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
    <w:nsid w:val="6D0E06CF"/>
    <w:multiLevelType w:val="multilevel"/>
    <w:tmpl w:val="6D0E06CF"/>
    <w:lvl w:ilvl="0" w:tentative="0">
      <w:start w:val="1"/>
      <w:numFmt w:val="decimalEnclosedCircle"/>
      <w:lvlText w:val="%1"/>
      <w:lvlJc w:val="left"/>
      <w:pPr>
        <w:ind w:left="900" w:hanging="420"/>
      </w:pPr>
      <w:rPr>
        <w:rFonts w:hint="default" w:ascii="Times New Roman" w:hAnsi="Times New Roman" w:eastAsia="宋体" w:cs="Times New Roman"/>
      </w:rPr>
    </w:lvl>
    <w:lvl w:ilvl="1" w:tentative="0">
      <w:start w:val="1"/>
      <w:numFmt w:val="decimalEnclosedCircle"/>
      <w:lvlText w:val="%2"/>
      <w:lvlJc w:val="left"/>
      <w:pPr>
        <w:ind w:left="1260" w:hanging="360"/>
      </w:pPr>
      <w:rPr>
        <w:rFonts w:hint="default" w:ascii="宋体" w:hAnsi="宋体" w:eastAsia="宋体" w:cs="宋体"/>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D9824A2"/>
    <w:multiLevelType w:val="multilevel"/>
    <w:tmpl w:val="6D9824A2"/>
    <w:lvl w:ilvl="0" w:tentative="0">
      <w:start w:val="1"/>
      <w:numFmt w:val="decimal"/>
      <w:suff w:val="nothing"/>
      <w:lvlText w:val="（%1）"/>
      <w:lvlJc w:val="left"/>
      <w:pPr>
        <w:ind w:left="113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1F3357C"/>
    <w:multiLevelType w:val="multilevel"/>
    <w:tmpl w:val="71F3357C"/>
    <w:lvl w:ilvl="0" w:tentative="0">
      <w:start w:val="1"/>
      <w:numFmt w:val="decimal"/>
      <w:suff w:val="nothing"/>
      <w:lvlText w:val="（%1）"/>
      <w:lvlJc w:val="left"/>
      <w:pPr>
        <w:ind w:left="138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766A7F22"/>
    <w:multiLevelType w:val="multilevel"/>
    <w:tmpl w:val="766A7F22"/>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4"/>
  </w:num>
  <w:num w:numId="2">
    <w:abstractNumId w:val="6"/>
  </w:num>
  <w:num w:numId="3">
    <w:abstractNumId w:val="13"/>
  </w:num>
  <w:num w:numId="4">
    <w:abstractNumId w:val="3"/>
  </w:num>
  <w:num w:numId="5">
    <w:abstractNumId w:val="11"/>
  </w:num>
  <w:num w:numId="6">
    <w:abstractNumId w:val="5"/>
  </w:num>
  <w:num w:numId="7">
    <w:abstractNumId w:val="2"/>
  </w:num>
  <w:num w:numId="8">
    <w:abstractNumId w:val="16"/>
  </w:num>
  <w:num w:numId="9">
    <w:abstractNumId w:val="1"/>
  </w:num>
  <w:num w:numId="10">
    <w:abstractNumId w:val="9"/>
  </w:num>
  <w:num w:numId="11">
    <w:abstractNumId w:val="14"/>
  </w:num>
  <w:num w:numId="12">
    <w:abstractNumId w:val="10"/>
  </w:num>
  <w:num w:numId="13">
    <w:abstractNumId w:val="8"/>
  </w:num>
  <w:num w:numId="14">
    <w:abstractNumId w:val="0"/>
  </w:num>
  <w:num w:numId="15">
    <w:abstractNumId w:val="1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N2VhNDM1ZDJjOGQ3OTNiOWEwYmVjMTMzODNkNWUifQ=="/>
  </w:docVars>
  <w:rsids>
    <w:rsidRoot w:val="001D2039"/>
    <w:rsid w:val="00000613"/>
    <w:rsid w:val="00000671"/>
    <w:rsid w:val="00000AF1"/>
    <w:rsid w:val="00001F0A"/>
    <w:rsid w:val="00002142"/>
    <w:rsid w:val="000027E7"/>
    <w:rsid w:val="00004B9E"/>
    <w:rsid w:val="0000673E"/>
    <w:rsid w:val="00006877"/>
    <w:rsid w:val="00006C0A"/>
    <w:rsid w:val="00007352"/>
    <w:rsid w:val="0001003F"/>
    <w:rsid w:val="00010FC5"/>
    <w:rsid w:val="000123D3"/>
    <w:rsid w:val="00014C41"/>
    <w:rsid w:val="000173D4"/>
    <w:rsid w:val="00017C3C"/>
    <w:rsid w:val="0002080E"/>
    <w:rsid w:val="0002353B"/>
    <w:rsid w:val="000235DF"/>
    <w:rsid w:val="0002628D"/>
    <w:rsid w:val="00026D79"/>
    <w:rsid w:val="00027862"/>
    <w:rsid w:val="0003099E"/>
    <w:rsid w:val="00030B87"/>
    <w:rsid w:val="00031333"/>
    <w:rsid w:val="00031F4E"/>
    <w:rsid w:val="00032166"/>
    <w:rsid w:val="00033140"/>
    <w:rsid w:val="00034222"/>
    <w:rsid w:val="00034279"/>
    <w:rsid w:val="00034395"/>
    <w:rsid w:val="000351AC"/>
    <w:rsid w:val="00036240"/>
    <w:rsid w:val="00036437"/>
    <w:rsid w:val="0003671F"/>
    <w:rsid w:val="0003691A"/>
    <w:rsid w:val="00037293"/>
    <w:rsid w:val="000418C2"/>
    <w:rsid w:val="00042337"/>
    <w:rsid w:val="00042E49"/>
    <w:rsid w:val="00043279"/>
    <w:rsid w:val="0004533A"/>
    <w:rsid w:val="00045479"/>
    <w:rsid w:val="00045E79"/>
    <w:rsid w:val="00046344"/>
    <w:rsid w:val="00046638"/>
    <w:rsid w:val="0004745A"/>
    <w:rsid w:val="00047B8D"/>
    <w:rsid w:val="00050384"/>
    <w:rsid w:val="000516A4"/>
    <w:rsid w:val="00051910"/>
    <w:rsid w:val="00051E09"/>
    <w:rsid w:val="000528B6"/>
    <w:rsid w:val="00052B4C"/>
    <w:rsid w:val="000530AF"/>
    <w:rsid w:val="00053177"/>
    <w:rsid w:val="00053BD0"/>
    <w:rsid w:val="00053D9E"/>
    <w:rsid w:val="000542D2"/>
    <w:rsid w:val="00055E11"/>
    <w:rsid w:val="00057F2F"/>
    <w:rsid w:val="0006175D"/>
    <w:rsid w:val="00063646"/>
    <w:rsid w:val="00064910"/>
    <w:rsid w:val="00065734"/>
    <w:rsid w:val="000670CF"/>
    <w:rsid w:val="00067D62"/>
    <w:rsid w:val="00070E0C"/>
    <w:rsid w:val="00072C0B"/>
    <w:rsid w:val="00073665"/>
    <w:rsid w:val="00073F0D"/>
    <w:rsid w:val="00074A02"/>
    <w:rsid w:val="00074F89"/>
    <w:rsid w:val="00075EA6"/>
    <w:rsid w:val="00080A5E"/>
    <w:rsid w:val="000823D9"/>
    <w:rsid w:val="00082A09"/>
    <w:rsid w:val="0008406A"/>
    <w:rsid w:val="000843CE"/>
    <w:rsid w:val="0008488F"/>
    <w:rsid w:val="00084FB7"/>
    <w:rsid w:val="0008695B"/>
    <w:rsid w:val="000874F3"/>
    <w:rsid w:val="00087560"/>
    <w:rsid w:val="00090524"/>
    <w:rsid w:val="000915B8"/>
    <w:rsid w:val="00091C9B"/>
    <w:rsid w:val="000930A1"/>
    <w:rsid w:val="00093A4C"/>
    <w:rsid w:val="000948D0"/>
    <w:rsid w:val="00095BB4"/>
    <w:rsid w:val="00095E67"/>
    <w:rsid w:val="000960E5"/>
    <w:rsid w:val="000973E5"/>
    <w:rsid w:val="000A0DC6"/>
    <w:rsid w:val="000A14A2"/>
    <w:rsid w:val="000A20CC"/>
    <w:rsid w:val="000A24E7"/>
    <w:rsid w:val="000A3511"/>
    <w:rsid w:val="000A4EE6"/>
    <w:rsid w:val="000A55FF"/>
    <w:rsid w:val="000A57DF"/>
    <w:rsid w:val="000A5DDB"/>
    <w:rsid w:val="000A622D"/>
    <w:rsid w:val="000A70EC"/>
    <w:rsid w:val="000A732F"/>
    <w:rsid w:val="000A7997"/>
    <w:rsid w:val="000A7CB3"/>
    <w:rsid w:val="000B01F8"/>
    <w:rsid w:val="000B0F4D"/>
    <w:rsid w:val="000B1B00"/>
    <w:rsid w:val="000B2021"/>
    <w:rsid w:val="000B27E6"/>
    <w:rsid w:val="000B2CC3"/>
    <w:rsid w:val="000B33EB"/>
    <w:rsid w:val="000B35E7"/>
    <w:rsid w:val="000B4C42"/>
    <w:rsid w:val="000B6B6C"/>
    <w:rsid w:val="000B7EF7"/>
    <w:rsid w:val="000C0089"/>
    <w:rsid w:val="000C1DE4"/>
    <w:rsid w:val="000C219F"/>
    <w:rsid w:val="000C38A9"/>
    <w:rsid w:val="000C3942"/>
    <w:rsid w:val="000C4099"/>
    <w:rsid w:val="000C55B7"/>
    <w:rsid w:val="000C5F9B"/>
    <w:rsid w:val="000C60C0"/>
    <w:rsid w:val="000C6A66"/>
    <w:rsid w:val="000C6C30"/>
    <w:rsid w:val="000D13B2"/>
    <w:rsid w:val="000D1456"/>
    <w:rsid w:val="000D157E"/>
    <w:rsid w:val="000D1F56"/>
    <w:rsid w:val="000D28C5"/>
    <w:rsid w:val="000D2EEE"/>
    <w:rsid w:val="000D38E1"/>
    <w:rsid w:val="000D4508"/>
    <w:rsid w:val="000D4934"/>
    <w:rsid w:val="000D57A1"/>
    <w:rsid w:val="000D5CEF"/>
    <w:rsid w:val="000D5F29"/>
    <w:rsid w:val="000D6AF4"/>
    <w:rsid w:val="000D6D41"/>
    <w:rsid w:val="000D6F14"/>
    <w:rsid w:val="000D7C17"/>
    <w:rsid w:val="000E1670"/>
    <w:rsid w:val="000E3487"/>
    <w:rsid w:val="000E4501"/>
    <w:rsid w:val="000E6107"/>
    <w:rsid w:val="000F1E4C"/>
    <w:rsid w:val="000F395B"/>
    <w:rsid w:val="000F438D"/>
    <w:rsid w:val="000F4468"/>
    <w:rsid w:val="000F45C1"/>
    <w:rsid w:val="000F4942"/>
    <w:rsid w:val="000F4E21"/>
    <w:rsid w:val="000F502F"/>
    <w:rsid w:val="000F6611"/>
    <w:rsid w:val="000F6801"/>
    <w:rsid w:val="000F7B58"/>
    <w:rsid w:val="001008BD"/>
    <w:rsid w:val="00101768"/>
    <w:rsid w:val="00101A99"/>
    <w:rsid w:val="00102FE2"/>
    <w:rsid w:val="00103A07"/>
    <w:rsid w:val="00103C70"/>
    <w:rsid w:val="00104F80"/>
    <w:rsid w:val="001051AC"/>
    <w:rsid w:val="001059F8"/>
    <w:rsid w:val="00106447"/>
    <w:rsid w:val="00106481"/>
    <w:rsid w:val="00106773"/>
    <w:rsid w:val="001070F5"/>
    <w:rsid w:val="001072EB"/>
    <w:rsid w:val="00107B3F"/>
    <w:rsid w:val="00110C5F"/>
    <w:rsid w:val="00111507"/>
    <w:rsid w:val="00112815"/>
    <w:rsid w:val="00112DD2"/>
    <w:rsid w:val="00112EB9"/>
    <w:rsid w:val="0011324D"/>
    <w:rsid w:val="00113CC2"/>
    <w:rsid w:val="00114D1E"/>
    <w:rsid w:val="00124715"/>
    <w:rsid w:val="001249D7"/>
    <w:rsid w:val="00125306"/>
    <w:rsid w:val="00125D3F"/>
    <w:rsid w:val="00125E21"/>
    <w:rsid w:val="00127058"/>
    <w:rsid w:val="001272D4"/>
    <w:rsid w:val="0012779B"/>
    <w:rsid w:val="00130301"/>
    <w:rsid w:val="00132D34"/>
    <w:rsid w:val="00133CEC"/>
    <w:rsid w:val="0013554A"/>
    <w:rsid w:val="00136A37"/>
    <w:rsid w:val="00136EA3"/>
    <w:rsid w:val="001379D5"/>
    <w:rsid w:val="00141E12"/>
    <w:rsid w:val="001431EF"/>
    <w:rsid w:val="001437C5"/>
    <w:rsid w:val="001478CD"/>
    <w:rsid w:val="00151A6F"/>
    <w:rsid w:val="00151E17"/>
    <w:rsid w:val="001525D4"/>
    <w:rsid w:val="00152856"/>
    <w:rsid w:val="00152F77"/>
    <w:rsid w:val="0015467E"/>
    <w:rsid w:val="00155186"/>
    <w:rsid w:val="0015555B"/>
    <w:rsid w:val="001565C5"/>
    <w:rsid w:val="00157411"/>
    <w:rsid w:val="0016040B"/>
    <w:rsid w:val="00160785"/>
    <w:rsid w:val="00161BAB"/>
    <w:rsid w:val="00162E2B"/>
    <w:rsid w:val="00164066"/>
    <w:rsid w:val="001640F0"/>
    <w:rsid w:val="00164282"/>
    <w:rsid w:val="00165EE0"/>
    <w:rsid w:val="001667D3"/>
    <w:rsid w:val="00166979"/>
    <w:rsid w:val="001673E4"/>
    <w:rsid w:val="0017125D"/>
    <w:rsid w:val="00172AA3"/>
    <w:rsid w:val="00172EBE"/>
    <w:rsid w:val="00173BAB"/>
    <w:rsid w:val="001750BC"/>
    <w:rsid w:val="001770D6"/>
    <w:rsid w:val="00177287"/>
    <w:rsid w:val="0018022F"/>
    <w:rsid w:val="0018052F"/>
    <w:rsid w:val="0018103D"/>
    <w:rsid w:val="00181436"/>
    <w:rsid w:val="00181D48"/>
    <w:rsid w:val="0018300F"/>
    <w:rsid w:val="00183628"/>
    <w:rsid w:val="00183E73"/>
    <w:rsid w:val="00184D52"/>
    <w:rsid w:val="001856E4"/>
    <w:rsid w:val="00185C86"/>
    <w:rsid w:val="00186716"/>
    <w:rsid w:val="00186C69"/>
    <w:rsid w:val="001879B0"/>
    <w:rsid w:val="00187D0B"/>
    <w:rsid w:val="00190507"/>
    <w:rsid w:val="001916E2"/>
    <w:rsid w:val="00191D5E"/>
    <w:rsid w:val="00191E83"/>
    <w:rsid w:val="00191FDC"/>
    <w:rsid w:val="00192B2F"/>
    <w:rsid w:val="001956B0"/>
    <w:rsid w:val="00195C83"/>
    <w:rsid w:val="001967D7"/>
    <w:rsid w:val="00196AF6"/>
    <w:rsid w:val="00197C58"/>
    <w:rsid w:val="001A0877"/>
    <w:rsid w:val="001A2460"/>
    <w:rsid w:val="001A2A1F"/>
    <w:rsid w:val="001A31C6"/>
    <w:rsid w:val="001A3D0B"/>
    <w:rsid w:val="001A6CDD"/>
    <w:rsid w:val="001A6ED7"/>
    <w:rsid w:val="001A71CC"/>
    <w:rsid w:val="001B1B90"/>
    <w:rsid w:val="001B21C8"/>
    <w:rsid w:val="001B34C0"/>
    <w:rsid w:val="001B3799"/>
    <w:rsid w:val="001B385E"/>
    <w:rsid w:val="001B3E5B"/>
    <w:rsid w:val="001B4954"/>
    <w:rsid w:val="001B55BD"/>
    <w:rsid w:val="001B6E56"/>
    <w:rsid w:val="001C0286"/>
    <w:rsid w:val="001C1603"/>
    <w:rsid w:val="001C3188"/>
    <w:rsid w:val="001C35D5"/>
    <w:rsid w:val="001C45B4"/>
    <w:rsid w:val="001C4E90"/>
    <w:rsid w:val="001C4FE0"/>
    <w:rsid w:val="001C59E2"/>
    <w:rsid w:val="001C6A95"/>
    <w:rsid w:val="001D027F"/>
    <w:rsid w:val="001D05D0"/>
    <w:rsid w:val="001D1510"/>
    <w:rsid w:val="001D2039"/>
    <w:rsid w:val="001D2291"/>
    <w:rsid w:val="001D2533"/>
    <w:rsid w:val="001D37A6"/>
    <w:rsid w:val="001D6A58"/>
    <w:rsid w:val="001E0172"/>
    <w:rsid w:val="001E3423"/>
    <w:rsid w:val="001E3F2C"/>
    <w:rsid w:val="001E498B"/>
    <w:rsid w:val="001E515A"/>
    <w:rsid w:val="001E634A"/>
    <w:rsid w:val="001E68D4"/>
    <w:rsid w:val="001E6913"/>
    <w:rsid w:val="001F1026"/>
    <w:rsid w:val="001F2701"/>
    <w:rsid w:val="001F370E"/>
    <w:rsid w:val="001F4622"/>
    <w:rsid w:val="001F46CD"/>
    <w:rsid w:val="001F624B"/>
    <w:rsid w:val="001F6840"/>
    <w:rsid w:val="001F6CB1"/>
    <w:rsid w:val="001F7394"/>
    <w:rsid w:val="001F7DF0"/>
    <w:rsid w:val="00201574"/>
    <w:rsid w:val="00201A22"/>
    <w:rsid w:val="0020264D"/>
    <w:rsid w:val="00203400"/>
    <w:rsid w:val="00204A2A"/>
    <w:rsid w:val="002062F6"/>
    <w:rsid w:val="00207786"/>
    <w:rsid w:val="00210ADE"/>
    <w:rsid w:val="00211A25"/>
    <w:rsid w:val="00212C6C"/>
    <w:rsid w:val="00213A31"/>
    <w:rsid w:val="00213C25"/>
    <w:rsid w:val="00213D65"/>
    <w:rsid w:val="00214133"/>
    <w:rsid w:val="002144CA"/>
    <w:rsid w:val="00216D85"/>
    <w:rsid w:val="00217FF3"/>
    <w:rsid w:val="00220214"/>
    <w:rsid w:val="002204BC"/>
    <w:rsid w:val="002208EA"/>
    <w:rsid w:val="00221782"/>
    <w:rsid w:val="00222AFC"/>
    <w:rsid w:val="0022302E"/>
    <w:rsid w:val="0022353E"/>
    <w:rsid w:val="002244B0"/>
    <w:rsid w:val="002254D8"/>
    <w:rsid w:val="00226FF3"/>
    <w:rsid w:val="00230842"/>
    <w:rsid w:val="00231316"/>
    <w:rsid w:val="002323CA"/>
    <w:rsid w:val="00233390"/>
    <w:rsid w:val="00234632"/>
    <w:rsid w:val="002349CB"/>
    <w:rsid w:val="00234F9A"/>
    <w:rsid w:val="00234FD4"/>
    <w:rsid w:val="002360F8"/>
    <w:rsid w:val="002364F7"/>
    <w:rsid w:val="0023720B"/>
    <w:rsid w:val="0023731E"/>
    <w:rsid w:val="002374BC"/>
    <w:rsid w:val="00237AA3"/>
    <w:rsid w:val="002403BE"/>
    <w:rsid w:val="00240413"/>
    <w:rsid w:val="00241476"/>
    <w:rsid w:val="002436E9"/>
    <w:rsid w:val="00243BFC"/>
    <w:rsid w:val="00246674"/>
    <w:rsid w:val="00247779"/>
    <w:rsid w:val="00251430"/>
    <w:rsid w:val="00252264"/>
    <w:rsid w:val="00252802"/>
    <w:rsid w:val="0025797C"/>
    <w:rsid w:val="00260DB0"/>
    <w:rsid w:val="00261415"/>
    <w:rsid w:val="00261EEE"/>
    <w:rsid w:val="00262158"/>
    <w:rsid w:val="0026252A"/>
    <w:rsid w:val="002627EB"/>
    <w:rsid w:val="00264C4C"/>
    <w:rsid w:val="00266263"/>
    <w:rsid w:val="00266A89"/>
    <w:rsid w:val="00270AAA"/>
    <w:rsid w:val="00270BC1"/>
    <w:rsid w:val="0027308D"/>
    <w:rsid w:val="002730F5"/>
    <w:rsid w:val="00273AEF"/>
    <w:rsid w:val="00274262"/>
    <w:rsid w:val="00274C77"/>
    <w:rsid w:val="00274D08"/>
    <w:rsid w:val="002765CF"/>
    <w:rsid w:val="002809DE"/>
    <w:rsid w:val="00280A95"/>
    <w:rsid w:val="00281A8E"/>
    <w:rsid w:val="0028375F"/>
    <w:rsid w:val="00283D88"/>
    <w:rsid w:val="00283E64"/>
    <w:rsid w:val="002841C3"/>
    <w:rsid w:val="0028465B"/>
    <w:rsid w:val="002847D4"/>
    <w:rsid w:val="00285F52"/>
    <w:rsid w:val="00286418"/>
    <w:rsid w:val="0028680C"/>
    <w:rsid w:val="00286C56"/>
    <w:rsid w:val="00287A86"/>
    <w:rsid w:val="0029012A"/>
    <w:rsid w:val="002903DC"/>
    <w:rsid w:val="00290B29"/>
    <w:rsid w:val="002911C4"/>
    <w:rsid w:val="002921B8"/>
    <w:rsid w:val="002923C5"/>
    <w:rsid w:val="00292D02"/>
    <w:rsid w:val="00292F01"/>
    <w:rsid w:val="00295519"/>
    <w:rsid w:val="00295E3F"/>
    <w:rsid w:val="00295FD8"/>
    <w:rsid w:val="00296072"/>
    <w:rsid w:val="00296C32"/>
    <w:rsid w:val="00296DAE"/>
    <w:rsid w:val="00297044"/>
    <w:rsid w:val="002975D6"/>
    <w:rsid w:val="00297A35"/>
    <w:rsid w:val="00297B49"/>
    <w:rsid w:val="002A01AA"/>
    <w:rsid w:val="002A209B"/>
    <w:rsid w:val="002A28EC"/>
    <w:rsid w:val="002A2994"/>
    <w:rsid w:val="002A3166"/>
    <w:rsid w:val="002A3EE8"/>
    <w:rsid w:val="002A58DA"/>
    <w:rsid w:val="002A6242"/>
    <w:rsid w:val="002A6BEF"/>
    <w:rsid w:val="002A7F88"/>
    <w:rsid w:val="002B0035"/>
    <w:rsid w:val="002B086D"/>
    <w:rsid w:val="002B0B0F"/>
    <w:rsid w:val="002B0F3E"/>
    <w:rsid w:val="002B1D8C"/>
    <w:rsid w:val="002B219D"/>
    <w:rsid w:val="002B38E8"/>
    <w:rsid w:val="002B40F3"/>
    <w:rsid w:val="002B4383"/>
    <w:rsid w:val="002B58D7"/>
    <w:rsid w:val="002B6BB0"/>
    <w:rsid w:val="002B6CF5"/>
    <w:rsid w:val="002B72D9"/>
    <w:rsid w:val="002B7DD1"/>
    <w:rsid w:val="002C0258"/>
    <w:rsid w:val="002C025A"/>
    <w:rsid w:val="002C0821"/>
    <w:rsid w:val="002C0CF5"/>
    <w:rsid w:val="002C158E"/>
    <w:rsid w:val="002C1B20"/>
    <w:rsid w:val="002C224F"/>
    <w:rsid w:val="002C35CC"/>
    <w:rsid w:val="002C3ECC"/>
    <w:rsid w:val="002C4020"/>
    <w:rsid w:val="002C414A"/>
    <w:rsid w:val="002C536C"/>
    <w:rsid w:val="002C5488"/>
    <w:rsid w:val="002C620A"/>
    <w:rsid w:val="002C6B91"/>
    <w:rsid w:val="002D03B0"/>
    <w:rsid w:val="002D1D3F"/>
    <w:rsid w:val="002D25CD"/>
    <w:rsid w:val="002D3909"/>
    <w:rsid w:val="002D3C86"/>
    <w:rsid w:val="002D3D8F"/>
    <w:rsid w:val="002D3F3D"/>
    <w:rsid w:val="002D4807"/>
    <w:rsid w:val="002D4981"/>
    <w:rsid w:val="002D4AD7"/>
    <w:rsid w:val="002D5D76"/>
    <w:rsid w:val="002D6EF9"/>
    <w:rsid w:val="002E06A3"/>
    <w:rsid w:val="002E0753"/>
    <w:rsid w:val="002E27B6"/>
    <w:rsid w:val="002E4BAF"/>
    <w:rsid w:val="002E4C27"/>
    <w:rsid w:val="002E6326"/>
    <w:rsid w:val="002E71EF"/>
    <w:rsid w:val="002E72CE"/>
    <w:rsid w:val="002E78AD"/>
    <w:rsid w:val="002F013D"/>
    <w:rsid w:val="002F13C4"/>
    <w:rsid w:val="002F16FA"/>
    <w:rsid w:val="002F2550"/>
    <w:rsid w:val="002F3477"/>
    <w:rsid w:val="002F3601"/>
    <w:rsid w:val="002F38A0"/>
    <w:rsid w:val="002F4734"/>
    <w:rsid w:val="002F4884"/>
    <w:rsid w:val="002F49C6"/>
    <w:rsid w:val="002F4F14"/>
    <w:rsid w:val="002F5058"/>
    <w:rsid w:val="002F71EE"/>
    <w:rsid w:val="002F7EEC"/>
    <w:rsid w:val="002F7FBF"/>
    <w:rsid w:val="00300CE4"/>
    <w:rsid w:val="003018A3"/>
    <w:rsid w:val="00301F33"/>
    <w:rsid w:val="00302668"/>
    <w:rsid w:val="0030292C"/>
    <w:rsid w:val="00302E6A"/>
    <w:rsid w:val="00303027"/>
    <w:rsid w:val="00303AE8"/>
    <w:rsid w:val="00305311"/>
    <w:rsid w:val="00305837"/>
    <w:rsid w:val="00307E6E"/>
    <w:rsid w:val="003110BF"/>
    <w:rsid w:val="00311589"/>
    <w:rsid w:val="003117BF"/>
    <w:rsid w:val="00312B7A"/>
    <w:rsid w:val="00312F20"/>
    <w:rsid w:val="00313388"/>
    <w:rsid w:val="00314BDF"/>
    <w:rsid w:val="00314CAC"/>
    <w:rsid w:val="00316855"/>
    <w:rsid w:val="00316AFD"/>
    <w:rsid w:val="0031798D"/>
    <w:rsid w:val="00317AD0"/>
    <w:rsid w:val="003201FE"/>
    <w:rsid w:val="0032040F"/>
    <w:rsid w:val="00320A5D"/>
    <w:rsid w:val="0032119F"/>
    <w:rsid w:val="00321977"/>
    <w:rsid w:val="00321B16"/>
    <w:rsid w:val="00321BBC"/>
    <w:rsid w:val="00322078"/>
    <w:rsid w:val="00323977"/>
    <w:rsid w:val="00324AF6"/>
    <w:rsid w:val="0032556A"/>
    <w:rsid w:val="003265AF"/>
    <w:rsid w:val="00326767"/>
    <w:rsid w:val="003269D0"/>
    <w:rsid w:val="00326CA2"/>
    <w:rsid w:val="00326F4D"/>
    <w:rsid w:val="00327041"/>
    <w:rsid w:val="003270EF"/>
    <w:rsid w:val="00330B39"/>
    <w:rsid w:val="00331F69"/>
    <w:rsid w:val="003320FF"/>
    <w:rsid w:val="00332546"/>
    <w:rsid w:val="003333DE"/>
    <w:rsid w:val="00334A44"/>
    <w:rsid w:val="00334F7A"/>
    <w:rsid w:val="0033668C"/>
    <w:rsid w:val="00336C57"/>
    <w:rsid w:val="00337F21"/>
    <w:rsid w:val="003401B5"/>
    <w:rsid w:val="00340919"/>
    <w:rsid w:val="00342130"/>
    <w:rsid w:val="003432B6"/>
    <w:rsid w:val="00343633"/>
    <w:rsid w:val="00344E35"/>
    <w:rsid w:val="00345462"/>
    <w:rsid w:val="00345A8D"/>
    <w:rsid w:val="00345F1C"/>
    <w:rsid w:val="003467F1"/>
    <w:rsid w:val="003468B3"/>
    <w:rsid w:val="003468C3"/>
    <w:rsid w:val="00346E25"/>
    <w:rsid w:val="003511B3"/>
    <w:rsid w:val="00351734"/>
    <w:rsid w:val="00351988"/>
    <w:rsid w:val="00352072"/>
    <w:rsid w:val="0035388B"/>
    <w:rsid w:val="003551A7"/>
    <w:rsid w:val="00355DAD"/>
    <w:rsid w:val="0035693C"/>
    <w:rsid w:val="003615C6"/>
    <w:rsid w:val="00361B95"/>
    <w:rsid w:val="00361F60"/>
    <w:rsid w:val="0036212E"/>
    <w:rsid w:val="00362396"/>
    <w:rsid w:val="003631BA"/>
    <w:rsid w:val="0036392A"/>
    <w:rsid w:val="00364716"/>
    <w:rsid w:val="003664CC"/>
    <w:rsid w:val="00367872"/>
    <w:rsid w:val="00367DF0"/>
    <w:rsid w:val="0037161E"/>
    <w:rsid w:val="00371908"/>
    <w:rsid w:val="0037283D"/>
    <w:rsid w:val="003728E5"/>
    <w:rsid w:val="00372926"/>
    <w:rsid w:val="003729EA"/>
    <w:rsid w:val="00373C9C"/>
    <w:rsid w:val="00373EB8"/>
    <w:rsid w:val="0037410D"/>
    <w:rsid w:val="003760DE"/>
    <w:rsid w:val="003760F5"/>
    <w:rsid w:val="003775FC"/>
    <w:rsid w:val="00377D90"/>
    <w:rsid w:val="0038051E"/>
    <w:rsid w:val="0038136C"/>
    <w:rsid w:val="0038181C"/>
    <w:rsid w:val="0038211A"/>
    <w:rsid w:val="00382562"/>
    <w:rsid w:val="003829F5"/>
    <w:rsid w:val="00382E24"/>
    <w:rsid w:val="00383BB3"/>
    <w:rsid w:val="00383D47"/>
    <w:rsid w:val="00383E6B"/>
    <w:rsid w:val="003848F3"/>
    <w:rsid w:val="003851B7"/>
    <w:rsid w:val="003857B0"/>
    <w:rsid w:val="00387829"/>
    <w:rsid w:val="00387926"/>
    <w:rsid w:val="00390493"/>
    <w:rsid w:val="0039236A"/>
    <w:rsid w:val="0039240A"/>
    <w:rsid w:val="00392765"/>
    <w:rsid w:val="00392D37"/>
    <w:rsid w:val="00393436"/>
    <w:rsid w:val="003936D3"/>
    <w:rsid w:val="003936F7"/>
    <w:rsid w:val="00394F24"/>
    <w:rsid w:val="003952DE"/>
    <w:rsid w:val="00395701"/>
    <w:rsid w:val="0039620C"/>
    <w:rsid w:val="00396373"/>
    <w:rsid w:val="00396951"/>
    <w:rsid w:val="00396C43"/>
    <w:rsid w:val="003A07F3"/>
    <w:rsid w:val="003A0EC6"/>
    <w:rsid w:val="003A1099"/>
    <w:rsid w:val="003A28D4"/>
    <w:rsid w:val="003A3116"/>
    <w:rsid w:val="003A3346"/>
    <w:rsid w:val="003A471B"/>
    <w:rsid w:val="003A48DD"/>
    <w:rsid w:val="003A4ED6"/>
    <w:rsid w:val="003A54BC"/>
    <w:rsid w:val="003A59FB"/>
    <w:rsid w:val="003A5C4D"/>
    <w:rsid w:val="003A6F42"/>
    <w:rsid w:val="003A7363"/>
    <w:rsid w:val="003B0EFD"/>
    <w:rsid w:val="003B2119"/>
    <w:rsid w:val="003B29BE"/>
    <w:rsid w:val="003B2B93"/>
    <w:rsid w:val="003B40FC"/>
    <w:rsid w:val="003B49DC"/>
    <w:rsid w:val="003B510D"/>
    <w:rsid w:val="003B516A"/>
    <w:rsid w:val="003B5659"/>
    <w:rsid w:val="003B5F4F"/>
    <w:rsid w:val="003B62EF"/>
    <w:rsid w:val="003B66C5"/>
    <w:rsid w:val="003B6EAE"/>
    <w:rsid w:val="003B7632"/>
    <w:rsid w:val="003C0261"/>
    <w:rsid w:val="003C0537"/>
    <w:rsid w:val="003C0C50"/>
    <w:rsid w:val="003C1227"/>
    <w:rsid w:val="003C1625"/>
    <w:rsid w:val="003C37C2"/>
    <w:rsid w:val="003C4A34"/>
    <w:rsid w:val="003C630A"/>
    <w:rsid w:val="003D01CB"/>
    <w:rsid w:val="003D2045"/>
    <w:rsid w:val="003D2118"/>
    <w:rsid w:val="003D23AF"/>
    <w:rsid w:val="003D297B"/>
    <w:rsid w:val="003D2A0A"/>
    <w:rsid w:val="003D40AB"/>
    <w:rsid w:val="003D4A3F"/>
    <w:rsid w:val="003D514D"/>
    <w:rsid w:val="003D5226"/>
    <w:rsid w:val="003D5444"/>
    <w:rsid w:val="003D617F"/>
    <w:rsid w:val="003D65C9"/>
    <w:rsid w:val="003D7656"/>
    <w:rsid w:val="003E1889"/>
    <w:rsid w:val="003E25AD"/>
    <w:rsid w:val="003E26B7"/>
    <w:rsid w:val="003E386F"/>
    <w:rsid w:val="003E4845"/>
    <w:rsid w:val="003E693A"/>
    <w:rsid w:val="003F0950"/>
    <w:rsid w:val="003F10FA"/>
    <w:rsid w:val="003F1CE0"/>
    <w:rsid w:val="003F2738"/>
    <w:rsid w:val="003F593F"/>
    <w:rsid w:val="003F5D6D"/>
    <w:rsid w:val="00400184"/>
    <w:rsid w:val="00400E62"/>
    <w:rsid w:val="004014CE"/>
    <w:rsid w:val="0040284D"/>
    <w:rsid w:val="0040349A"/>
    <w:rsid w:val="0040350E"/>
    <w:rsid w:val="00403A80"/>
    <w:rsid w:val="004051F5"/>
    <w:rsid w:val="004063FB"/>
    <w:rsid w:val="004066B5"/>
    <w:rsid w:val="00407E4B"/>
    <w:rsid w:val="004106D2"/>
    <w:rsid w:val="004112D1"/>
    <w:rsid w:val="00412A67"/>
    <w:rsid w:val="00413045"/>
    <w:rsid w:val="004132C6"/>
    <w:rsid w:val="00413D4F"/>
    <w:rsid w:val="004145E8"/>
    <w:rsid w:val="00414750"/>
    <w:rsid w:val="004147B8"/>
    <w:rsid w:val="0041505B"/>
    <w:rsid w:val="00415CB6"/>
    <w:rsid w:val="004160E2"/>
    <w:rsid w:val="004160F8"/>
    <w:rsid w:val="0041624A"/>
    <w:rsid w:val="00416DCD"/>
    <w:rsid w:val="00417990"/>
    <w:rsid w:val="00420517"/>
    <w:rsid w:val="0042199D"/>
    <w:rsid w:val="00423746"/>
    <w:rsid w:val="00423CD6"/>
    <w:rsid w:val="00425676"/>
    <w:rsid w:val="0042692A"/>
    <w:rsid w:val="0042719C"/>
    <w:rsid w:val="00427B81"/>
    <w:rsid w:val="00431C7A"/>
    <w:rsid w:val="0043230A"/>
    <w:rsid w:val="00432DB3"/>
    <w:rsid w:val="004331B6"/>
    <w:rsid w:val="00434663"/>
    <w:rsid w:val="0043546C"/>
    <w:rsid w:val="00435B37"/>
    <w:rsid w:val="00435FF5"/>
    <w:rsid w:val="004360E7"/>
    <w:rsid w:val="004369A1"/>
    <w:rsid w:val="00437391"/>
    <w:rsid w:val="004400FD"/>
    <w:rsid w:val="00440335"/>
    <w:rsid w:val="004414F1"/>
    <w:rsid w:val="00443081"/>
    <w:rsid w:val="00443FC5"/>
    <w:rsid w:val="0044474F"/>
    <w:rsid w:val="00445DB0"/>
    <w:rsid w:val="00446905"/>
    <w:rsid w:val="00451128"/>
    <w:rsid w:val="00451B97"/>
    <w:rsid w:val="00451F45"/>
    <w:rsid w:val="004522D4"/>
    <w:rsid w:val="00452826"/>
    <w:rsid w:val="00452880"/>
    <w:rsid w:val="00453508"/>
    <w:rsid w:val="004554A5"/>
    <w:rsid w:val="0045656F"/>
    <w:rsid w:val="004569C5"/>
    <w:rsid w:val="00456D63"/>
    <w:rsid w:val="00457BE3"/>
    <w:rsid w:val="00457E35"/>
    <w:rsid w:val="00461055"/>
    <w:rsid w:val="004619B1"/>
    <w:rsid w:val="0046426D"/>
    <w:rsid w:val="004649E1"/>
    <w:rsid w:val="00466872"/>
    <w:rsid w:val="0046687E"/>
    <w:rsid w:val="0047053D"/>
    <w:rsid w:val="00470946"/>
    <w:rsid w:val="00471A6F"/>
    <w:rsid w:val="00471CAE"/>
    <w:rsid w:val="00471D1F"/>
    <w:rsid w:val="00471E4D"/>
    <w:rsid w:val="004727DE"/>
    <w:rsid w:val="00473137"/>
    <w:rsid w:val="00473E1A"/>
    <w:rsid w:val="004740FD"/>
    <w:rsid w:val="0047411F"/>
    <w:rsid w:val="00474F01"/>
    <w:rsid w:val="00475E06"/>
    <w:rsid w:val="00475E35"/>
    <w:rsid w:val="004764E0"/>
    <w:rsid w:val="004805EE"/>
    <w:rsid w:val="00482E68"/>
    <w:rsid w:val="004839D8"/>
    <w:rsid w:val="004847FD"/>
    <w:rsid w:val="004856C7"/>
    <w:rsid w:val="00485993"/>
    <w:rsid w:val="00485EC2"/>
    <w:rsid w:val="004869C6"/>
    <w:rsid w:val="004871D1"/>
    <w:rsid w:val="004906B4"/>
    <w:rsid w:val="004915E0"/>
    <w:rsid w:val="0049261A"/>
    <w:rsid w:val="0049310F"/>
    <w:rsid w:val="00495EEA"/>
    <w:rsid w:val="004962E9"/>
    <w:rsid w:val="00497E43"/>
    <w:rsid w:val="004A085A"/>
    <w:rsid w:val="004A13E3"/>
    <w:rsid w:val="004A2892"/>
    <w:rsid w:val="004A3912"/>
    <w:rsid w:val="004A56C3"/>
    <w:rsid w:val="004A5CCC"/>
    <w:rsid w:val="004A5E4C"/>
    <w:rsid w:val="004A6353"/>
    <w:rsid w:val="004B0AA1"/>
    <w:rsid w:val="004B3AA2"/>
    <w:rsid w:val="004B4403"/>
    <w:rsid w:val="004B4B29"/>
    <w:rsid w:val="004B4BD7"/>
    <w:rsid w:val="004B5607"/>
    <w:rsid w:val="004B5787"/>
    <w:rsid w:val="004B5DEB"/>
    <w:rsid w:val="004B6998"/>
    <w:rsid w:val="004B6C2E"/>
    <w:rsid w:val="004B7771"/>
    <w:rsid w:val="004B7BE5"/>
    <w:rsid w:val="004C0066"/>
    <w:rsid w:val="004C13AA"/>
    <w:rsid w:val="004C16F2"/>
    <w:rsid w:val="004C297E"/>
    <w:rsid w:val="004C3976"/>
    <w:rsid w:val="004C3AE9"/>
    <w:rsid w:val="004C490F"/>
    <w:rsid w:val="004C5D47"/>
    <w:rsid w:val="004C6B12"/>
    <w:rsid w:val="004C6C82"/>
    <w:rsid w:val="004D0208"/>
    <w:rsid w:val="004D021A"/>
    <w:rsid w:val="004D0BF1"/>
    <w:rsid w:val="004D0D70"/>
    <w:rsid w:val="004D1087"/>
    <w:rsid w:val="004D24B0"/>
    <w:rsid w:val="004D27DD"/>
    <w:rsid w:val="004D2AD6"/>
    <w:rsid w:val="004D3678"/>
    <w:rsid w:val="004D4E35"/>
    <w:rsid w:val="004D59CF"/>
    <w:rsid w:val="004D5B6C"/>
    <w:rsid w:val="004D7648"/>
    <w:rsid w:val="004D76C0"/>
    <w:rsid w:val="004E1301"/>
    <w:rsid w:val="004E3035"/>
    <w:rsid w:val="004E37E8"/>
    <w:rsid w:val="004E3A90"/>
    <w:rsid w:val="004E3B0F"/>
    <w:rsid w:val="004E4412"/>
    <w:rsid w:val="004E57F5"/>
    <w:rsid w:val="004E6195"/>
    <w:rsid w:val="004E7565"/>
    <w:rsid w:val="004F06E8"/>
    <w:rsid w:val="004F0E50"/>
    <w:rsid w:val="004F0F05"/>
    <w:rsid w:val="004F1062"/>
    <w:rsid w:val="004F1356"/>
    <w:rsid w:val="004F231E"/>
    <w:rsid w:val="004F3182"/>
    <w:rsid w:val="004F32E0"/>
    <w:rsid w:val="004F409C"/>
    <w:rsid w:val="004F4DD4"/>
    <w:rsid w:val="004F52C5"/>
    <w:rsid w:val="004F5351"/>
    <w:rsid w:val="004F622D"/>
    <w:rsid w:val="004F692F"/>
    <w:rsid w:val="004F7FD4"/>
    <w:rsid w:val="00500136"/>
    <w:rsid w:val="0050309A"/>
    <w:rsid w:val="00504691"/>
    <w:rsid w:val="0050534E"/>
    <w:rsid w:val="005058CC"/>
    <w:rsid w:val="00505B7C"/>
    <w:rsid w:val="00505C95"/>
    <w:rsid w:val="005063C7"/>
    <w:rsid w:val="00510574"/>
    <w:rsid w:val="00510F8A"/>
    <w:rsid w:val="005110F6"/>
    <w:rsid w:val="00511F10"/>
    <w:rsid w:val="00512CD9"/>
    <w:rsid w:val="00513EBC"/>
    <w:rsid w:val="005141A0"/>
    <w:rsid w:val="00514B7D"/>
    <w:rsid w:val="00516192"/>
    <w:rsid w:val="00516450"/>
    <w:rsid w:val="00516D9C"/>
    <w:rsid w:val="00517341"/>
    <w:rsid w:val="005179AC"/>
    <w:rsid w:val="00517D39"/>
    <w:rsid w:val="00520260"/>
    <w:rsid w:val="005205EE"/>
    <w:rsid w:val="005228F4"/>
    <w:rsid w:val="00522C8F"/>
    <w:rsid w:val="0052363E"/>
    <w:rsid w:val="00523782"/>
    <w:rsid w:val="00524873"/>
    <w:rsid w:val="00525636"/>
    <w:rsid w:val="00527E41"/>
    <w:rsid w:val="005306DF"/>
    <w:rsid w:val="00530BD9"/>
    <w:rsid w:val="00530C26"/>
    <w:rsid w:val="00531D0E"/>
    <w:rsid w:val="00532431"/>
    <w:rsid w:val="00532D70"/>
    <w:rsid w:val="00534667"/>
    <w:rsid w:val="005347ED"/>
    <w:rsid w:val="00535C66"/>
    <w:rsid w:val="00536323"/>
    <w:rsid w:val="00536C1C"/>
    <w:rsid w:val="0053749B"/>
    <w:rsid w:val="00537A7D"/>
    <w:rsid w:val="0054197F"/>
    <w:rsid w:val="00542E31"/>
    <w:rsid w:val="00546551"/>
    <w:rsid w:val="00551D27"/>
    <w:rsid w:val="00552664"/>
    <w:rsid w:val="00552B1B"/>
    <w:rsid w:val="00552FA6"/>
    <w:rsid w:val="005532D8"/>
    <w:rsid w:val="005542B9"/>
    <w:rsid w:val="00554F12"/>
    <w:rsid w:val="00555616"/>
    <w:rsid w:val="005564F6"/>
    <w:rsid w:val="00557B9E"/>
    <w:rsid w:val="00561495"/>
    <w:rsid w:val="00561A8E"/>
    <w:rsid w:val="00561AA1"/>
    <w:rsid w:val="00562F24"/>
    <w:rsid w:val="00562FD4"/>
    <w:rsid w:val="0056327D"/>
    <w:rsid w:val="00564D87"/>
    <w:rsid w:val="00564E01"/>
    <w:rsid w:val="00564EA4"/>
    <w:rsid w:val="00565D28"/>
    <w:rsid w:val="0056735F"/>
    <w:rsid w:val="00570616"/>
    <w:rsid w:val="00570E7F"/>
    <w:rsid w:val="0057259A"/>
    <w:rsid w:val="00573106"/>
    <w:rsid w:val="005742E4"/>
    <w:rsid w:val="00574A05"/>
    <w:rsid w:val="00575902"/>
    <w:rsid w:val="00575F84"/>
    <w:rsid w:val="005764A0"/>
    <w:rsid w:val="005767DB"/>
    <w:rsid w:val="00576CF9"/>
    <w:rsid w:val="0058017A"/>
    <w:rsid w:val="00580C8F"/>
    <w:rsid w:val="00582AB9"/>
    <w:rsid w:val="00583495"/>
    <w:rsid w:val="00583983"/>
    <w:rsid w:val="005839A1"/>
    <w:rsid w:val="00584B6E"/>
    <w:rsid w:val="00585443"/>
    <w:rsid w:val="00585AFC"/>
    <w:rsid w:val="0058685E"/>
    <w:rsid w:val="00586948"/>
    <w:rsid w:val="0059192C"/>
    <w:rsid w:val="00591A09"/>
    <w:rsid w:val="00592BB4"/>
    <w:rsid w:val="005956D4"/>
    <w:rsid w:val="005964BC"/>
    <w:rsid w:val="005977E5"/>
    <w:rsid w:val="005A1183"/>
    <w:rsid w:val="005A146F"/>
    <w:rsid w:val="005A219F"/>
    <w:rsid w:val="005A26ED"/>
    <w:rsid w:val="005A315B"/>
    <w:rsid w:val="005A4F3A"/>
    <w:rsid w:val="005A674F"/>
    <w:rsid w:val="005A6B1E"/>
    <w:rsid w:val="005A6DC9"/>
    <w:rsid w:val="005B0D81"/>
    <w:rsid w:val="005B1503"/>
    <w:rsid w:val="005B1916"/>
    <w:rsid w:val="005B1C7F"/>
    <w:rsid w:val="005B2217"/>
    <w:rsid w:val="005B229B"/>
    <w:rsid w:val="005B2B33"/>
    <w:rsid w:val="005B2B68"/>
    <w:rsid w:val="005B2F84"/>
    <w:rsid w:val="005B3B8E"/>
    <w:rsid w:val="005B5951"/>
    <w:rsid w:val="005B5ADC"/>
    <w:rsid w:val="005B77FC"/>
    <w:rsid w:val="005C02EE"/>
    <w:rsid w:val="005C037F"/>
    <w:rsid w:val="005C1109"/>
    <w:rsid w:val="005C16E2"/>
    <w:rsid w:val="005C265B"/>
    <w:rsid w:val="005C3E84"/>
    <w:rsid w:val="005C434F"/>
    <w:rsid w:val="005C4399"/>
    <w:rsid w:val="005C48B9"/>
    <w:rsid w:val="005C5109"/>
    <w:rsid w:val="005C5176"/>
    <w:rsid w:val="005C5AD5"/>
    <w:rsid w:val="005C73C5"/>
    <w:rsid w:val="005D04EC"/>
    <w:rsid w:val="005D2783"/>
    <w:rsid w:val="005D28B9"/>
    <w:rsid w:val="005D2A37"/>
    <w:rsid w:val="005D370A"/>
    <w:rsid w:val="005D5F0D"/>
    <w:rsid w:val="005D6FAD"/>
    <w:rsid w:val="005D7E53"/>
    <w:rsid w:val="005E093E"/>
    <w:rsid w:val="005E10DC"/>
    <w:rsid w:val="005E1136"/>
    <w:rsid w:val="005E3975"/>
    <w:rsid w:val="005E478B"/>
    <w:rsid w:val="005E4B3E"/>
    <w:rsid w:val="005E4D66"/>
    <w:rsid w:val="005E5132"/>
    <w:rsid w:val="005E5CB4"/>
    <w:rsid w:val="005E63C7"/>
    <w:rsid w:val="005E65F9"/>
    <w:rsid w:val="005E701F"/>
    <w:rsid w:val="005E7BF9"/>
    <w:rsid w:val="005F0311"/>
    <w:rsid w:val="005F0B06"/>
    <w:rsid w:val="005F2196"/>
    <w:rsid w:val="005F22DB"/>
    <w:rsid w:val="005F3186"/>
    <w:rsid w:val="005F6205"/>
    <w:rsid w:val="005F66AA"/>
    <w:rsid w:val="006017B2"/>
    <w:rsid w:val="00601CAF"/>
    <w:rsid w:val="00602542"/>
    <w:rsid w:val="0060358F"/>
    <w:rsid w:val="00604874"/>
    <w:rsid w:val="0060530B"/>
    <w:rsid w:val="00605F4E"/>
    <w:rsid w:val="006063D6"/>
    <w:rsid w:val="006068B1"/>
    <w:rsid w:val="00607D2D"/>
    <w:rsid w:val="006103C9"/>
    <w:rsid w:val="00611059"/>
    <w:rsid w:val="00611578"/>
    <w:rsid w:val="00611DF4"/>
    <w:rsid w:val="00612055"/>
    <w:rsid w:val="0061304D"/>
    <w:rsid w:val="006136E9"/>
    <w:rsid w:val="00613C3A"/>
    <w:rsid w:val="0061589C"/>
    <w:rsid w:val="00615B02"/>
    <w:rsid w:val="006212CE"/>
    <w:rsid w:val="00623626"/>
    <w:rsid w:val="006239F9"/>
    <w:rsid w:val="006245C1"/>
    <w:rsid w:val="00625187"/>
    <w:rsid w:val="00625945"/>
    <w:rsid w:val="00626168"/>
    <w:rsid w:val="00630610"/>
    <w:rsid w:val="00632330"/>
    <w:rsid w:val="0063263B"/>
    <w:rsid w:val="00633980"/>
    <w:rsid w:val="00633CEF"/>
    <w:rsid w:val="00633E8E"/>
    <w:rsid w:val="006406F3"/>
    <w:rsid w:val="00640A33"/>
    <w:rsid w:val="00640EAB"/>
    <w:rsid w:val="00641535"/>
    <w:rsid w:val="0064185D"/>
    <w:rsid w:val="00641FF1"/>
    <w:rsid w:val="0064212F"/>
    <w:rsid w:val="00643169"/>
    <w:rsid w:val="0064342A"/>
    <w:rsid w:val="00644D12"/>
    <w:rsid w:val="00644E80"/>
    <w:rsid w:val="006450A9"/>
    <w:rsid w:val="006467E0"/>
    <w:rsid w:val="00650D02"/>
    <w:rsid w:val="00651D77"/>
    <w:rsid w:val="0065252E"/>
    <w:rsid w:val="0065319A"/>
    <w:rsid w:val="00653419"/>
    <w:rsid w:val="0065599A"/>
    <w:rsid w:val="00656030"/>
    <w:rsid w:val="00656EBD"/>
    <w:rsid w:val="00660814"/>
    <w:rsid w:val="00660BDF"/>
    <w:rsid w:val="00660DEF"/>
    <w:rsid w:val="00660FCA"/>
    <w:rsid w:val="006618DA"/>
    <w:rsid w:val="00662327"/>
    <w:rsid w:val="00663D2B"/>
    <w:rsid w:val="006641D8"/>
    <w:rsid w:val="006647AD"/>
    <w:rsid w:val="00664CF8"/>
    <w:rsid w:val="0066617E"/>
    <w:rsid w:val="006668A0"/>
    <w:rsid w:val="00667AB1"/>
    <w:rsid w:val="006702FB"/>
    <w:rsid w:val="0067127F"/>
    <w:rsid w:val="00675022"/>
    <w:rsid w:val="006759DA"/>
    <w:rsid w:val="00675D57"/>
    <w:rsid w:val="00675FEA"/>
    <w:rsid w:val="006760A3"/>
    <w:rsid w:val="00677ED6"/>
    <w:rsid w:val="00680CD2"/>
    <w:rsid w:val="006821E7"/>
    <w:rsid w:val="00682476"/>
    <w:rsid w:val="00682AE8"/>
    <w:rsid w:val="006832C9"/>
    <w:rsid w:val="00683540"/>
    <w:rsid w:val="00684D64"/>
    <w:rsid w:val="0068554D"/>
    <w:rsid w:val="00685AB0"/>
    <w:rsid w:val="00686863"/>
    <w:rsid w:val="00690B35"/>
    <w:rsid w:val="00690E05"/>
    <w:rsid w:val="0069350E"/>
    <w:rsid w:val="006935FF"/>
    <w:rsid w:val="00694657"/>
    <w:rsid w:val="0069525E"/>
    <w:rsid w:val="00695D68"/>
    <w:rsid w:val="00697184"/>
    <w:rsid w:val="0069741A"/>
    <w:rsid w:val="00697EB3"/>
    <w:rsid w:val="006A0B7A"/>
    <w:rsid w:val="006A1F6B"/>
    <w:rsid w:val="006A238A"/>
    <w:rsid w:val="006A2E87"/>
    <w:rsid w:val="006A342B"/>
    <w:rsid w:val="006A38FC"/>
    <w:rsid w:val="006A39AA"/>
    <w:rsid w:val="006A3DD5"/>
    <w:rsid w:val="006A4769"/>
    <w:rsid w:val="006A48F8"/>
    <w:rsid w:val="006A64CA"/>
    <w:rsid w:val="006A7E6E"/>
    <w:rsid w:val="006A7E80"/>
    <w:rsid w:val="006B06A0"/>
    <w:rsid w:val="006B0A4F"/>
    <w:rsid w:val="006B19BB"/>
    <w:rsid w:val="006B1B6F"/>
    <w:rsid w:val="006B216A"/>
    <w:rsid w:val="006B3202"/>
    <w:rsid w:val="006B3639"/>
    <w:rsid w:val="006B3928"/>
    <w:rsid w:val="006B3A35"/>
    <w:rsid w:val="006B5031"/>
    <w:rsid w:val="006B54F4"/>
    <w:rsid w:val="006B5660"/>
    <w:rsid w:val="006B57A3"/>
    <w:rsid w:val="006B5938"/>
    <w:rsid w:val="006B6227"/>
    <w:rsid w:val="006B740D"/>
    <w:rsid w:val="006B7A63"/>
    <w:rsid w:val="006C0C77"/>
    <w:rsid w:val="006C11A1"/>
    <w:rsid w:val="006C1D9E"/>
    <w:rsid w:val="006C2C7B"/>
    <w:rsid w:val="006C35EC"/>
    <w:rsid w:val="006C4416"/>
    <w:rsid w:val="006C48E8"/>
    <w:rsid w:val="006C5FAD"/>
    <w:rsid w:val="006C676C"/>
    <w:rsid w:val="006C7470"/>
    <w:rsid w:val="006D07CD"/>
    <w:rsid w:val="006D0860"/>
    <w:rsid w:val="006D219A"/>
    <w:rsid w:val="006D3A9C"/>
    <w:rsid w:val="006D3DA0"/>
    <w:rsid w:val="006D4937"/>
    <w:rsid w:val="006D5134"/>
    <w:rsid w:val="006D541A"/>
    <w:rsid w:val="006D59B3"/>
    <w:rsid w:val="006D6B37"/>
    <w:rsid w:val="006D71CB"/>
    <w:rsid w:val="006D7EEF"/>
    <w:rsid w:val="006E03CC"/>
    <w:rsid w:val="006E154D"/>
    <w:rsid w:val="006E2328"/>
    <w:rsid w:val="006E25A8"/>
    <w:rsid w:val="006E2A4E"/>
    <w:rsid w:val="006E35B7"/>
    <w:rsid w:val="006E3624"/>
    <w:rsid w:val="006E4C68"/>
    <w:rsid w:val="006E4D35"/>
    <w:rsid w:val="006E5D3C"/>
    <w:rsid w:val="006E6475"/>
    <w:rsid w:val="006E6A54"/>
    <w:rsid w:val="006E78D3"/>
    <w:rsid w:val="006F132D"/>
    <w:rsid w:val="006F3318"/>
    <w:rsid w:val="006F3A64"/>
    <w:rsid w:val="006F4B77"/>
    <w:rsid w:val="006F4CB1"/>
    <w:rsid w:val="006F4D3D"/>
    <w:rsid w:val="006F6B02"/>
    <w:rsid w:val="006F6C42"/>
    <w:rsid w:val="006F6D83"/>
    <w:rsid w:val="006F76F4"/>
    <w:rsid w:val="00700EA5"/>
    <w:rsid w:val="00701F77"/>
    <w:rsid w:val="00702E4B"/>
    <w:rsid w:val="00703C74"/>
    <w:rsid w:val="00705416"/>
    <w:rsid w:val="007061AB"/>
    <w:rsid w:val="00707306"/>
    <w:rsid w:val="0071166D"/>
    <w:rsid w:val="007124F0"/>
    <w:rsid w:val="00714CF6"/>
    <w:rsid w:val="0071535B"/>
    <w:rsid w:val="00716404"/>
    <w:rsid w:val="00717C92"/>
    <w:rsid w:val="00720ADA"/>
    <w:rsid w:val="0072266F"/>
    <w:rsid w:val="00723603"/>
    <w:rsid w:val="00724D10"/>
    <w:rsid w:val="00724DCA"/>
    <w:rsid w:val="0072526A"/>
    <w:rsid w:val="00726331"/>
    <w:rsid w:val="0073158E"/>
    <w:rsid w:val="00731AD6"/>
    <w:rsid w:val="00732465"/>
    <w:rsid w:val="00732E49"/>
    <w:rsid w:val="00733A72"/>
    <w:rsid w:val="00736CAA"/>
    <w:rsid w:val="007411D4"/>
    <w:rsid w:val="007414AA"/>
    <w:rsid w:val="00741C5E"/>
    <w:rsid w:val="00742A2F"/>
    <w:rsid w:val="00743D89"/>
    <w:rsid w:val="00743F97"/>
    <w:rsid w:val="00744266"/>
    <w:rsid w:val="00744F17"/>
    <w:rsid w:val="00745E2C"/>
    <w:rsid w:val="007464BE"/>
    <w:rsid w:val="00746591"/>
    <w:rsid w:val="0074789D"/>
    <w:rsid w:val="00747A18"/>
    <w:rsid w:val="00747E90"/>
    <w:rsid w:val="00750722"/>
    <w:rsid w:val="00751F3B"/>
    <w:rsid w:val="007520BE"/>
    <w:rsid w:val="007530F9"/>
    <w:rsid w:val="007544D5"/>
    <w:rsid w:val="00754749"/>
    <w:rsid w:val="0075574F"/>
    <w:rsid w:val="00755E0D"/>
    <w:rsid w:val="00760288"/>
    <w:rsid w:val="0076094D"/>
    <w:rsid w:val="007615D3"/>
    <w:rsid w:val="00761841"/>
    <w:rsid w:val="007631CD"/>
    <w:rsid w:val="00763643"/>
    <w:rsid w:val="00763794"/>
    <w:rsid w:val="00764786"/>
    <w:rsid w:val="00764AD8"/>
    <w:rsid w:val="0076569A"/>
    <w:rsid w:val="007656F5"/>
    <w:rsid w:val="00765E64"/>
    <w:rsid w:val="00766ED4"/>
    <w:rsid w:val="00767F41"/>
    <w:rsid w:val="00770524"/>
    <w:rsid w:val="007707A5"/>
    <w:rsid w:val="00770B43"/>
    <w:rsid w:val="00771102"/>
    <w:rsid w:val="007738F4"/>
    <w:rsid w:val="00774E8A"/>
    <w:rsid w:val="0077538B"/>
    <w:rsid w:val="00775AB7"/>
    <w:rsid w:val="00781435"/>
    <w:rsid w:val="00781F2B"/>
    <w:rsid w:val="00781FBD"/>
    <w:rsid w:val="007827F4"/>
    <w:rsid w:val="00782DB6"/>
    <w:rsid w:val="007830A5"/>
    <w:rsid w:val="00784143"/>
    <w:rsid w:val="00785919"/>
    <w:rsid w:val="00786E62"/>
    <w:rsid w:val="00790EA9"/>
    <w:rsid w:val="00791447"/>
    <w:rsid w:val="00791B21"/>
    <w:rsid w:val="00791C4D"/>
    <w:rsid w:val="00792E7D"/>
    <w:rsid w:val="00793EBA"/>
    <w:rsid w:val="00795A12"/>
    <w:rsid w:val="0079686F"/>
    <w:rsid w:val="007968AB"/>
    <w:rsid w:val="007A0410"/>
    <w:rsid w:val="007A097A"/>
    <w:rsid w:val="007A0B0B"/>
    <w:rsid w:val="007A14D4"/>
    <w:rsid w:val="007A2601"/>
    <w:rsid w:val="007A2E52"/>
    <w:rsid w:val="007A3B97"/>
    <w:rsid w:val="007A3C6A"/>
    <w:rsid w:val="007A47C8"/>
    <w:rsid w:val="007A552A"/>
    <w:rsid w:val="007A5D4D"/>
    <w:rsid w:val="007A777B"/>
    <w:rsid w:val="007B2325"/>
    <w:rsid w:val="007B25EF"/>
    <w:rsid w:val="007B2E25"/>
    <w:rsid w:val="007B405A"/>
    <w:rsid w:val="007B40B3"/>
    <w:rsid w:val="007B4D1F"/>
    <w:rsid w:val="007B4D6D"/>
    <w:rsid w:val="007B58E8"/>
    <w:rsid w:val="007B614D"/>
    <w:rsid w:val="007B7DA4"/>
    <w:rsid w:val="007B7F2E"/>
    <w:rsid w:val="007C0815"/>
    <w:rsid w:val="007C19C1"/>
    <w:rsid w:val="007C3027"/>
    <w:rsid w:val="007C524B"/>
    <w:rsid w:val="007C62EF"/>
    <w:rsid w:val="007C70A7"/>
    <w:rsid w:val="007C7759"/>
    <w:rsid w:val="007C7A14"/>
    <w:rsid w:val="007C7ED0"/>
    <w:rsid w:val="007D0696"/>
    <w:rsid w:val="007D2819"/>
    <w:rsid w:val="007D4AB7"/>
    <w:rsid w:val="007D5842"/>
    <w:rsid w:val="007D5E4C"/>
    <w:rsid w:val="007D5F5C"/>
    <w:rsid w:val="007D6240"/>
    <w:rsid w:val="007D6CF7"/>
    <w:rsid w:val="007D6D59"/>
    <w:rsid w:val="007D73F5"/>
    <w:rsid w:val="007D7D5D"/>
    <w:rsid w:val="007E26A2"/>
    <w:rsid w:val="007E2EA8"/>
    <w:rsid w:val="007E308B"/>
    <w:rsid w:val="007E3165"/>
    <w:rsid w:val="007E348F"/>
    <w:rsid w:val="007E3D72"/>
    <w:rsid w:val="007E66C4"/>
    <w:rsid w:val="007E6D2C"/>
    <w:rsid w:val="007E6E68"/>
    <w:rsid w:val="007E72E1"/>
    <w:rsid w:val="007F0E01"/>
    <w:rsid w:val="007F2890"/>
    <w:rsid w:val="007F2C1C"/>
    <w:rsid w:val="007F2E4F"/>
    <w:rsid w:val="007F442C"/>
    <w:rsid w:val="007F4644"/>
    <w:rsid w:val="007F6B5E"/>
    <w:rsid w:val="007F77B9"/>
    <w:rsid w:val="007F7C61"/>
    <w:rsid w:val="008006D4"/>
    <w:rsid w:val="00800916"/>
    <w:rsid w:val="008023CB"/>
    <w:rsid w:val="00802551"/>
    <w:rsid w:val="0080257F"/>
    <w:rsid w:val="00803213"/>
    <w:rsid w:val="008035B6"/>
    <w:rsid w:val="00804450"/>
    <w:rsid w:val="00804FF8"/>
    <w:rsid w:val="008052DB"/>
    <w:rsid w:val="008056C3"/>
    <w:rsid w:val="0080571E"/>
    <w:rsid w:val="00806FE6"/>
    <w:rsid w:val="00810293"/>
    <w:rsid w:val="00812E54"/>
    <w:rsid w:val="0081485F"/>
    <w:rsid w:val="00814890"/>
    <w:rsid w:val="0081526D"/>
    <w:rsid w:val="00815F05"/>
    <w:rsid w:val="008165FC"/>
    <w:rsid w:val="00816E63"/>
    <w:rsid w:val="00817491"/>
    <w:rsid w:val="008204AF"/>
    <w:rsid w:val="00822343"/>
    <w:rsid w:val="00822345"/>
    <w:rsid w:val="00823460"/>
    <w:rsid w:val="00823871"/>
    <w:rsid w:val="00823DCE"/>
    <w:rsid w:val="0082411D"/>
    <w:rsid w:val="00825F9E"/>
    <w:rsid w:val="00826707"/>
    <w:rsid w:val="00827EA5"/>
    <w:rsid w:val="00830116"/>
    <w:rsid w:val="0083259B"/>
    <w:rsid w:val="00833C01"/>
    <w:rsid w:val="0083564D"/>
    <w:rsid w:val="0083581D"/>
    <w:rsid w:val="00835CDE"/>
    <w:rsid w:val="00835D56"/>
    <w:rsid w:val="008364E2"/>
    <w:rsid w:val="008365E5"/>
    <w:rsid w:val="00837747"/>
    <w:rsid w:val="00837C85"/>
    <w:rsid w:val="00842071"/>
    <w:rsid w:val="00843465"/>
    <w:rsid w:val="008436CD"/>
    <w:rsid w:val="00843E79"/>
    <w:rsid w:val="00844463"/>
    <w:rsid w:val="00844946"/>
    <w:rsid w:val="008453C2"/>
    <w:rsid w:val="00845D80"/>
    <w:rsid w:val="008465E6"/>
    <w:rsid w:val="00846AB7"/>
    <w:rsid w:val="00847F29"/>
    <w:rsid w:val="00847FE0"/>
    <w:rsid w:val="00850A01"/>
    <w:rsid w:val="008521B9"/>
    <w:rsid w:val="00853C03"/>
    <w:rsid w:val="008544BC"/>
    <w:rsid w:val="00854977"/>
    <w:rsid w:val="00854B0D"/>
    <w:rsid w:val="00855474"/>
    <w:rsid w:val="00855519"/>
    <w:rsid w:val="00856A36"/>
    <w:rsid w:val="00856F39"/>
    <w:rsid w:val="00861F5C"/>
    <w:rsid w:val="00862022"/>
    <w:rsid w:val="0086229C"/>
    <w:rsid w:val="008630B0"/>
    <w:rsid w:val="00863DAA"/>
    <w:rsid w:val="00865339"/>
    <w:rsid w:val="00865EEB"/>
    <w:rsid w:val="008665AA"/>
    <w:rsid w:val="00866D04"/>
    <w:rsid w:val="008711A2"/>
    <w:rsid w:val="00872F9D"/>
    <w:rsid w:val="00873295"/>
    <w:rsid w:val="00873439"/>
    <w:rsid w:val="008735C8"/>
    <w:rsid w:val="00873C52"/>
    <w:rsid w:val="00874D2A"/>
    <w:rsid w:val="00876CA9"/>
    <w:rsid w:val="0087765F"/>
    <w:rsid w:val="008800DC"/>
    <w:rsid w:val="0088088C"/>
    <w:rsid w:val="00880F61"/>
    <w:rsid w:val="00882E44"/>
    <w:rsid w:val="00883323"/>
    <w:rsid w:val="008837EF"/>
    <w:rsid w:val="008840D4"/>
    <w:rsid w:val="00887438"/>
    <w:rsid w:val="008905F7"/>
    <w:rsid w:val="00890BA6"/>
    <w:rsid w:val="00890C7F"/>
    <w:rsid w:val="0089115C"/>
    <w:rsid w:val="00891C33"/>
    <w:rsid w:val="008924AC"/>
    <w:rsid w:val="00892610"/>
    <w:rsid w:val="00892C20"/>
    <w:rsid w:val="0089342D"/>
    <w:rsid w:val="00893A47"/>
    <w:rsid w:val="008942EB"/>
    <w:rsid w:val="008977CE"/>
    <w:rsid w:val="00897AAD"/>
    <w:rsid w:val="008A02CC"/>
    <w:rsid w:val="008A0638"/>
    <w:rsid w:val="008A09B4"/>
    <w:rsid w:val="008A0B38"/>
    <w:rsid w:val="008A119E"/>
    <w:rsid w:val="008A2BAE"/>
    <w:rsid w:val="008A47AB"/>
    <w:rsid w:val="008A5B3A"/>
    <w:rsid w:val="008A5C2E"/>
    <w:rsid w:val="008A5E7E"/>
    <w:rsid w:val="008A6E2E"/>
    <w:rsid w:val="008A7CDE"/>
    <w:rsid w:val="008B143E"/>
    <w:rsid w:val="008B1992"/>
    <w:rsid w:val="008B208C"/>
    <w:rsid w:val="008B2CDD"/>
    <w:rsid w:val="008B4025"/>
    <w:rsid w:val="008B40A4"/>
    <w:rsid w:val="008B4BFD"/>
    <w:rsid w:val="008B4E6C"/>
    <w:rsid w:val="008B5B26"/>
    <w:rsid w:val="008B5BA5"/>
    <w:rsid w:val="008B5BB3"/>
    <w:rsid w:val="008B676A"/>
    <w:rsid w:val="008C0B63"/>
    <w:rsid w:val="008C171B"/>
    <w:rsid w:val="008C1753"/>
    <w:rsid w:val="008C1C01"/>
    <w:rsid w:val="008C2932"/>
    <w:rsid w:val="008C3830"/>
    <w:rsid w:val="008C3863"/>
    <w:rsid w:val="008C3BD4"/>
    <w:rsid w:val="008C6973"/>
    <w:rsid w:val="008C6DD7"/>
    <w:rsid w:val="008D0B8B"/>
    <w:rsid w:val="008D32B9"/>
    <w:rsid w:val="008D4735"/>
    <w:rsid w:val="008D54E3"/>
    <w:rsid w:val="008D59CA"/>
    <w:rsid w:val="008D6A6C"/>
    <w:rsid w:val="008D6A9D"/>
    <w:rsid w:val="008D6CB7"/>
    <w:rsid w:val="008D79A7"/>
    <w:rsid w:val="008D7FD2"/>
    <w:rsid w:val="008E032D"/>
    <w:rsid w:val="008E0892"/>
    <w:rsid w:val="008E1AF8"/>
    <w:rsid w:val="008E4501"/>
    <w:rsid w:val="008E474E"/>
    <w:rsid w:val="008E4C5B"/>
    <w:rsid w:val="008E59AF"/>
    <w:rsid w:val="008E6207"/>
    <w:rsid w:val="008F0528"/>
    <w:rsid w:val="008F05DE"/>
    <w:rsid w:val="008F1A3A"/>
    <w:rsid w:val="008F3BA6"/>
    <w:rsid w:val="008F417F"/>
    <w:rsid w:val="008F4F26"/>
    <w:rsid w:val="008F7D12"/>
    <w:rsid w:val="008F7D43"/>
    <w:rsid w:val="008F7EA7"/>
    <w:rsid w:val="00900E99"/>
    <w:rsid w:val="00901A71"/>
    <w:rsid w:val="00903BE2"/>
    <w:rsid w:val="00913013"/>
    <w:rsid w:val="00913CFE"/>
    <w:rsid w:val="00913EBD"/>
    <w:rsid w:val="00914351"/>
    <w:rsid w:val="009148A8"/>
    <w:rsid w:val="00914C5E"/>
    <w:rsid w:val="00916515"/>
    <w:rsid w:val="00916796"/>
    <w:rsid w:val="0091773E"/>
    <w:rsid w:val="00920726"/>
    <w:rsid w:val="00920CCC"/>
    <w:rsid w:val="00921D0F"/>
    <w:rsid w:val="00923DAF"/>
    <w:rsid w:val="00924DE0"/>
    <w:rsid w:val="00925EC4"/>
    <w:rsid w:val="00926E46"/>
    <w:rsid w:val="00927585"/>
    <w:rsid w:val="00927FEA"/>
    <w:rsid w:val="009317FB"/>
    <w:rsid w:val="00931DA7"/>
    <w:rsid w:val="00932588"/>
    <w:rsid w:val="009333C3"/>
    <w:rsid w:val="00933D3B"/>
    <w:rsid w:val="00934A84"/>
    <w:rsid w:val="00934FB1"/>
    <w:rsid w:val="009352E5"/>
    <w:rsid w:val="0093706A"/>
    <w:rsid w:val="0094052B"/>
    <w:rsid w:val="00940AB2"/>
    <w:rsid w:val="00942387"/>
    <w:rsid w:val="0094328E"/>
    <w:rsid w:val="00943A73"/>
    <w:rsid w:val="00943F2E"/>
    <w:rsid w:val="00943FF1"/>
    <w:rsid w:val="009460BE"/>
    <w:rsid w:val="00946EC6"/>
    <w:rsid w:val="00951052"/>
    <w:rsid w:val="009515DF"/>
    <w:rsid w:val="00951D08"/>
    <w:rsid w:val="00952261"/>
    <w:rsid w:val="00952432"/>
    <w:rsid w:val="0095308D"/>
    <w:rsid w:val="00953283"/>
    <w:rsid w:val="009536FB"/>
    <w:rsid w:val="00953C40"/>
    <w:rsid w:val="00954A37"/>
    <w:rsid w:val="00955345"/>
    <w:rsid w:val="00955378"/>
    <w:rsid w:val="00955AD0"/>
    <w:rsid w:val="00956573"/>
    <w:rsid w:val="009571BF"/>
    <w:rsid w:val="0095723F"/>
    <w:rsid w:val="009573B7"/>
    <w:rsid w:val="00957F93"/>
    <w:rsid w:val="009600B4"/>
    <w:rsid w:val="009606F1"/>
    <w:rsid w:val="0096155C"/>
    <w:rsid w:val="009630AF"/>
    <w:rsid w:val="00963145"/>
    <w:rsid w:val="00967AE2"/>
    <w:rsid w:val="00967E23"/>
    <w:rsid w:val="00970C42"/>
    <w:rsid w:val="0097272F"/>
    <w:rsid w:val="00972769"/>
    <w:rsid w:val="009727AD"/>
    <w:rsid w:val="0097293E"/>
    <w:rsid w:val="00972A50"/>
    <w:rsid w:val="00973715"/>
    <w:rsid w:val="00973B0D"/>
    <w:rsid w:val="00973BA2"/>
    <w:rsid w:val="00976536"/>
    <w:rsid w:val="00976B27"/>
    <w:rsid w:val="009774BC"/>
    <w:rsid w:val="00977FB5"/>
    <w:rsid w:val="0098222F"/>
    <w:rsid w:val="009822CB"/>
    <w:rsid w:val="009827E5"/>
    <w:rsid w:val="009845C8"/>
    <w:rsid w:val="00984ABC"/>
    <w:rsid w:val="00984AFA"/>
    <w:rsid w:val="0098518A"/>
    <w:rsid w:val="00986616"/>
    <w:rsid w:val="00987175"/>
    <w:rsid w:val="0098726A"/>
    <w:rsid w:val="009872D6"/>
    <w:rsid w:val="00987AEC"/>
    <w:rsid w:val="00987C6F"/>
    <w:rsid w:val="00987E47"/>
    <w:rsid w:val="00990088"/>
    <w:rsid w:val="00990979"/>
    <w:rsid w:val="009909A2"/>
    <w:rsid w:val="00990F24"/>
    <w:rsid w:val="009917F6"/>
    <w:rsid w:val="0099222D"/>
    <w:rsid w:val="009925AC"/>
    <w:rsid w:val="00994936"/>
    <w:rsid w:val="00994FD9"/>
    <w:rsid w:val="00995331"/>
    <w:rsid w:val="009954BC"/>
    <w:rsid w:val="009A0781"/>
    <w:rsid w:val="009A425D"/>
    <w:rsid w:val="009A56EF"/>
    <w:rsid w:val="009A624E"/>
    <w:rsid w:val="009A7A92"/>
    <w:rsid w:val="009A7EDA"/>
    <w:rsid w:val="009A7EEC"/>
    <w:rsid w:val="009B222B"/>
    <w:rsid w:val="009B5EB4"/>
    <w:rsid w:val="009B60AC"/>
    <w:rsid w:val="009B60BE"/>
    <w:rsid w:val="009B66EB"/>
    <w:rsid w:val="009B6B93"/>
    <w:rsid w:val="009B7E4A"/>
    <w:rsid w:val="009C06D7"/>
    <w:rsid w:val="009C1267"/>
    <w:rsid w:val="009C34D2"/>
    <w:rsid w:val="009C4055"/>
    <w:rsid w:val="009C58AC"/>
    <w:rsid w:val="009C73CF"/>
    <w:rsid w:val="009D16D8"/>
    <w:rsid w:val="009D19E9"/>
    <w:rsid w:val="009D26AD"/>
    <w:rsid w:val="009D2958"/>
    <w:rsid w:val="009D2CF0"/>
    <w:rsid w:val="009D3014"/>
    <w:rsid w:val="009D3EBC"/>
    <w:rsid w:val="009D43CA"/>
    <w:rsid w:val="009D5661"/>
    <w:rsid w:val="009D6300"/>
    <w:rsid w:val="009D6BD9"/>
    <w:rsid w:val="009E0B7A"/>
    <w:rsid w:val="009E1B44"/>
    <w:rsid w:val="009E1C58"/>
    <w:rsid w:val="009E3D69"/>
    <w:rsid w:val="009E41B6"/>
    <w:rsid w:val="009E43F8"/>
    <w:rsid w:val="009E46A1"/>
    <w:rsid w:val="009E4A7B"/>
    <w:rsid w:val="009E4DB0"/>
    <w:rsid w:val="009E54AA"/>
    <w:rsid w:val="009E6B52"/>
    <w:rsid w:val="009E6EF6"/>
    <w:rsid w:val="009F2BC8"/>
    <w:rsid w:val="009F358B"/>
    <w:rsid w:val="009F3B21"/>
    <w:rsid w:val="009F3B73"/>
    <w:rsid w:val="009F4CBD"/>
    <w:rsid w:val="009F4EDF"/>
    <w:rsid w:val="009F52CA"/>
    <w:rsid w:val="009F5425"/>
    <w:rsid w:val="009F5E8A"/>
    <w:rsid w:val="009F60BD"/>
    <w:rsid w:val="009F7FCC"/>
    <w:rsid w:val="00A00042"/>
    <w:rsid w:val="00A00D58"/>
    <w:rsid w:val="00A02450"/>
    <w:rsid w:val="00A0280A"/>
    <w:rsid w:val="00A02C3A"/>
    <w:rsid w:val="00A04E42"/>
    <w:rsid w:val="00A04F14"/>
    <w:rsid w:val="00A053EC"/>
    <w:rsid w:val="00A104B3"/>
    <w:rsid w:val="00A10836"/>
    <w:rsid w:val="00A109A3"/>
    <w:rsid w:val="00A11A41"/>
    <w:rsid w:val="00A129B6"/>
    <w:rsid w:val="00A148D7"/>
    <w:rsid w:val="00A14DEB"/>
    <w:rsid w:val="00A158DF"/>
    <w:rsid w:val="00A17DC6"/>
    <w:rsid w:val="00A202E3"/>
    <w:rsid w:val="00A20FEA"/>
    <w:rsid w:val="00A21A48"/>
    <w:rsid w:val="00A23498"/>
    <w:rsid w:val="00A23785"/>
    <w:rsid w:val="00A23994"/>
    <w:rsid w:val="00A23F4F"/>
    <w:rsid w:val="00A24140"/>
    <w:rsid w:val="00A24EDC"/>
    <w:rsid w:val="00A250C3"/>
    <w:rsid w:val="00A26C34"/>
    <w:rsid w:val="00A26CD3"/>
    <w:rsid w:val="00A270FD"/>
    <w:rsid w:val="00A271B2"/>
    <w:rsid w:val="00A277EF"/>
    <w:rsid w:val="00A30317"/>
    <w:rsid w:val="00A30DC7"/>
    <w:rsid w:val="00A30FB9"/>
    <w:rsid w:val="00A318FE"/>
    <w:rsid w:val="00A324B9"/>
    <w:rsid w:val="00A3315A"/>
    <w:rsid w:val="00A3322B"/>
    <w:rsid w:val="00A35974"/>
    <w:rsid w:val="00A36033"/>
    <w:rsid w:val="00A360BA"/>
    <w:rsid w:val="00A371BC"/>
    <w:rsid w:val="00A371FE"/>
    <w:rsid w:val="00A3725B"/>
    <w:rsid w:val="00A37E23"/>
    <w:rsid w:val="00A40150"/>
    <w:rsid w:val="00A407B9"/>
    <w:rsid w:val="00A41D04"/>
    <w:rsid w:val="00A4203A"/>
    <w:rsid w:val="00A430CC"/>
    <w:rsid w:val="00A4408C"/>
    <w:rsid w:val="00A45804"/>
    <w:rsid w:val="00A46761"/>
    <w:rsid w:val="00A50E38"/>
    <w:rsid w:val="00A5456A"/>
    <w:rsid w:val="00A55347"/>
    <w:rsid w:val="00A56209"/>
    <w:rsid w:val="00A61798"/>
    <w:rsid w:val="00A6181D"/>
    <w:rsid w:val="00A63211"/>
    <w:rsid w:val="00A6370C"/>
    <w:rsid w:val="00A66275"/>
    <w:rsid w:val="00A6649B"/>
    <w:rsid w:val="00A66A59"/>
    <w:rsid w:val="00A6714D"/>
    <w:rsid w:val="00A67183"/>
    <w:rsid w:val="00A67241"/>
    <w:rsid w:val="00A67539"/>
    <w:rsid w:val="00A67F99"/>
    <w:rsid w:val="00A70262"/>
    <w:rsid w:val="00A7065B"/>
    <w:rsid w:val="00A70BD2"/>
    <w:rsid w:val="00A72C46"/>
    <w:rsid w:val="00A7379C"/>
    <w:rsid w:val="00A74041"/>
    <w:rsid w:val="00A75CF5"/>
    <w:rsid w:val="00A77814"/>
    <w:rsid w:val="00A81136"/>
    <w:rsid w:val="00A83304"/>
    <w:rsid w:val="00A833D7"/>
    <w:rsid w:val="00A8383B"/>
    <w:rsid w:val="00A83E0F"/>
    <w:rsid w:val="00A84098"/>
    <w:rsid w:val="00A842F2"/>
    <w:rsid w:val="00A8437F"/>
    <w:rsid w:val="00A8488E"/>
    <w:rsid w:val="00A85068"/>
    <w:rsid w:val="00A85FD7"/>
    <w:rsid w:val="00A87052"/>
    <w:rsid w:val="00A87645"/>
    <w:rsid w:val="00A90D08"/>
    <w:rsid w:val="00A90E83"/>
    <w:rsid w:val="00A93F32"/>
    <w:rsid w:val="00A944AE"/>
    <w:rsid w:val="00A9456A"/>
    <w:rsid w:val="00A94EE5"/>
    <w:rsid w:val="00A94F86"/>
    <w:rsid w:val="00A95989"/>
    <w:rsid w:val="00A96D1D"/>
    <w:rsid w:val="00AA067A"/>
    <w:rsid w:val="00AA06BD"/>
    <w:rsid w:val="00AA0A7A"/>
    <w:rsid w:val="00AA0BBC"/>
    <w:rsid w:val="00AA1497"/>
    <w:rsid w:val="00AA2FCE"/>
    <w:rsid w:val="00AA336A"/>
    <w:rsid w:val="00AA3F98"/>
    <w:rsid w:val="00AA3FA3"/>
    <w:rsid w:val="00AA4557"/>
    <w:rsid w:val="00AA466A"/>
    <w:rsid w:val="00AA4989"/>
    <w:rsid w:val="00AA5752"/>
    <w:rsid w:val="00AA7037"/>
    <w:rsid w:val="00AA7284"/>
    <w:rsid w:val="00AA7503"/>
    <w:rsid w:val="00AB0427"/>
    <w:rsid w:val="00AB055B"/>
    <w:rsid w:val="00AB1143"/>
    <w:rsid w:val="00AB126C"/>
    <w:rsid w:val="00AB17E9"/>
    <w:rsid w:val="00AB1B9B"/>
    <w:rsid w:val="00AB23C2"/>
    <w:rsid w:val="00AB31F9"/>
    <w:rsid w:val="00AB430F"/>
    <w:rsid w:val="00AB488F"/>
    <w:rsid w:val="00AB4BA4"/>
    <w:rsid w:val="00AB4EF7"/>
    <w:rsid w:val="00AB5B0D"/>
    <w:rsid w:val="00AB5FA2"/>
    <w:rsid w:val="00AB6196"/>
    <w:rsid w:val="00AB65BF"/>
    <w:rsid w:val="00AB6BDE"/>
    <w:rsid w:val="00AB7552"/>
    <w:rsid w:val="00AB7FC6"/>
    <w:rsid w:val="00AC003E"/>
    <w:rsid w:val="00AC3E47"/>
    <w:rsid w:val="00AC43D3"/>
    <w:rsid w:val="00AC45E4"/>
    <w:rsid w:val="00AC5779"/>
    <w:rsid w:val="00AD0F63"/>
    <w:rsid w:val="00AD25E4"/>
    <w:rsid w:val="00AD2618"/>
    <w:rsid w:val="00AD267C"/>
    <w:rsid w:val="00AD2D9C"/>
    <w:rsid w:val="00AD2FC6"/>
    <w:rsid w:val="00AD4507"/>
    <w:rsid w:val="00AD45B0"/>
    <w:rsid w:val="00AD575C"/>
    <w:rsid w:val="00AD5C6F"/>
    <w:rsid w:val="00AD5F91"/>
    <w:rsid w:val="00AD5FE3"/>
    <w:rsid w:val="00AD7633"/>
    <w:rsid w:val="00AD795B"/>
    <w:rsid w:val="00AE09E0"/>
    <w:rsid w:val="00AE12A6"/>
    <w:rsid w:val="00AE27A8"/>
    <w:rsid w:val="00AE2EEA"/>
    <w:rsid w:val="00AE3495"/>
    <w:rsid w:val="00AE4903"/>
    <w:rsid w:val="00AE5D5C"/>
    <w:rsid w:val="00AE5FDE"/>
    <w:rsid w:val="00AF1981"/>
    <w:rsid w:val="00AF451E"/>
    <w:rsid w:val="00AF6029"/>
    <w:rsid w:val="00AF676A"/>
    <w:rsid w:val="00AF7328"/>
    <w:rsid w:val="00B00971"/>
    <w:rsid w:val="00B00CF3"/>
    <w:rsid w:val="00B01155"/>
    <w:rsid w:val="00B016DF"/>
    <w:rsid w:val="00B01766"/>
    <w:rsid w:val="00B020DA"/>
    <w:rsid w:val="00B03125"/>
    <w:rsid w:val="00B0341F"/>
    <w:rsid w:val="00B03F5A"/>
    <w:rsid w:val="00B041CB"/>
    <w:rsid w:val="00B05C03"/>
    <w:rsid w:val="00B1104E"/>
    <w:rsid w:val="00B11D07"/>
    <w:rsid w:val="00B12073"/>
    <w:rsid w:val="00B12504"/>
    <w:rsid w:val="00B1253D"/>
    <w:rsid w:val="00B12C30"/>
    <w:rsid w:val="00B13C7A"/>
    <w:rsid w:val="00B14C09"/>
    <w:rsid w:val="00B15A55"/>
    <w:rsid w:val="00B15E21"/>
    <w:rsid w:val="00B16736"/>
    <w:rsid w:val="00B16A01"/>
    <w:rsid w:val="00B17370"/>
    <w:rsid w:val="00B21FCC"/>
    <w:rsid w:val="00B24ACA"/>
    <w:rsid w:val="00B254B8"/>
    <w:rsid w:val="00B268E8"/>
    <w:rsid w:val="00B30033"/>
    <w:rsid w:val="00B30335"/>
    <w:rsid w:val="00B30C5E"/>
    <w:rsid w:val="00B32A80"/>
    <w:rsid w:val="00B32BF8"/>
    <w:rsid w:val="00B3389E"/>
    <w:rsid w:val="00B3396D"/>
    <w:rsid w:val="00B3399C"/>
    <w:rsid w:val="00B34BBA"/>
    <w:rsid w:val="00B36C01"/>
    <w:rsid w:val="00B36F6A"/>
    <w:rsid w:val="00B377B4"/>
    <w:rsid w:val="00B37E57"/>
    <w:rsid w:val="00B41CCB"/>
    <w:rsid w:val="00B41E7E"/>
    <w:rsid w:val="00B42750"/>
    <w:rsid w:val="00B42C8D"/>
    <w:rsid w:val="00B4478C"/>
    <w:rsid w:val="00B448F2"/>
    <w:rsid w:val="00B456BF"/>
    <w:rsid w:val="00B458F4"/>
    <w:rsid w:val="00B46499"/>
    <w:rsid w:val="00B47CA0"/>
    <w:rsid w:val="00B505A8"/>
    <w:rsid w:val="00B50D56"/>
    <w:rsid w:val="00B51500"/>
    <w:rsid w:val="00B517D2"/>
    <w:rsid w:val="00B5246D"/>
    <w:rsid w:val="00B545BF"/>
    <w:rsid w:val="00B54855"/>
    <w:rsid w:val="00B56967"/>
    <w:rsid w:val="00B5708A"/>
    <w:rsid w:val="00B57502"/>
    <w:rsid w:val="00B60060"/>
    <w:rsid w:val="00B6017B"/>
    <w:rsid w:val="00B6023D"/>
    <w:rsid w:val="00B603E4"/>
    <w:rsid w:val="00B60F1B"/>
    <w:rsid w:val="00B61EFE"/>
    <w:rsid w:val="00B62B36"/>
    <w:rsid w:val="00B63245"/>
    <w:rsid w:val="00B63C6E"/>
    <w:rsid w:val="00B64EA4"/>
    <w:rsid w:val="00B66F7B"/>
    <w:rsid w:val="00B67C83"/>
    <w:rsid w:val="00B67EC9"/>
    <w:rsid w:val="00B70716"/>
    <w:rsid w:val="00B70D22"/>
    <w:rsid w:val="00B7100C"/>
    <w:rsid w:val="00B71F4C"/>
    <w:rsid w:val="00B72111"/>
    <w:rsid w:val="00B721B2"/>
    <w:rsid w:val="00B72B99"/>
    <w:rsid w:val="00B730FF"/>
    <w:rsid w:val="00B7559E"/>
    <w:rsid w:val="00B75EEC"/>
    <w:rsid w:val="00B7697D"/>
    <w:rsid w:val="00B77697"/>
    <w:rsid w:val="00B80444"/>
    <w:rsid w:val="00B80790"/>
    <w:rsid w:val="00B823AF"/>
    <w:rsid w:val="00B8496B"/>
    <w:rsid w:val="00B85751"/>
    <w:rsid w:val="00B87969"/>
    <w:rsid w:val="00B90863"/>
    <w:rsid w:val="00B91F8B"/>
    <w:rsid w:val="00B91FD2"/>
    <w:rsid w:val="00B930D9"/>
    <w:rsid w:val="00B9422A"/>
    <w:rsid w:val="00B947DF"/>
    <w:rsid w:val="00B9513F"/>
    <w:rsid w:val="00B959FA"/>
    <w:rsid w:val="00B95A1F"/>
    <w:rsid w:val="00BA0D23"/>
    <w:rsid w:val="00BA3153"/>
    <w:rsid w:val="00BA37FE"/>
    <w:rsid w:val="00BA470A"/>
    <w:rsid w:val="00BA5443"/>
    <w:rsid w:val="00BA7B81"/>
    <w:rsid w:val="00BA7C98"/>
    <w:rsid w:val="00BB50AE"/>
    <w:rsid w:val="00BB5283"/>
    <w:rsid w:val="00BB5724"/>
    <w:rsid w:val="00BB5AA0"/>
    <w:rsid w:val="00BB63BF"/>
    <w:rsid w:val="00BB6A6A"/>
    <w:rsid w:val="00BB7669"/>
    <w:rsid w:val="00BB784F"/>
    <w:rsid w:val="00BC1331"/>
    <w:rsid w:val="00BC236C"/>
    <w:rsid w:val="00BC24A0"/>
    <w:rsid w:val="00BC2908"/>
    <w:rsid w:val="00BC2F34"/>
    <w:rsid w:val="00BC3A87"/>
    <w:rsid w:val="00BC3C75"/>
    <w:rsid w:val="00BC3DF5"/>
    <w:rsid w:val="00BC66A9"/>
    <w:rsid w:val="00BC6C66"/>
    <w:rsid w:val="00BC708C"/>
    <w:rsid w:val="00BD0E5C"/>
    <w:rsid w:val="00BD16B7"/>
    <w:rsid w:val="00BD3135"/>
    <w:rsid w:val="00BD399B"/>
    <w:rsid w:val="00BD42CF"/>
    <w:rsid w:val="00BD4F50"/>
    <w:rsid w:val="00BD73F1"/>
    <w:rsid w:val="00BD7E31"/>
    <w:rsid w:val="00BE298C"/>
    <w:rsid w:val="00BE3BA6"/>
    <w:rsid w:val="00BE3FEA"/>
    <w:rsid w:val="00BE6598"/>
    <w:rsid w:val="00BE662C"/>
    <w:rsid w:val="00BE6881"/>
    <w:rsid w:val="00BE68A2"/>
    <w:rsid w:val="00BF1C88"/>
    <w:rsid w:val="00BF29E8"/>
    <w:rsid w:val="00BF3241"/>
    <w:rsid w:val="00BF4F1D"/>
    <w:rsid w:val="00BF5B06"/>
    <w:rsid w:val="00BF6085"/>
    <w:rsid w:val="00C006C6"/>
    <w:rsid w:val="00C00B0A"/>
    <w:rsid w:val="00C00B12"/>
    <w:rsid w:val="00C00B42"/>
    <w:rsid w:val="00C01102"/>
    <w:rsid w:val="00C0349B"/>
    <w:rsid w:val="00C0372F"/>
    <w:rsid w:val="00C04536"/>
    <w:rsid w:val="00C04A9E"/>
    <w:rsid w:val="00C04CFB"/>
    <w:rsid w:val="00C04ECD"/>
    <w:rsid w:val="00C0666D"/>
    <w:rsid w:val="00C11E8A"/>
    <w:rsid w:val="00C123A9"/>
    <w:rsid w:val="00C129E2"/>
    <w:rsid w:val="00C14249"/>
    <w:rsid w:val="00C152EC"/>
    <w:rsid w:val="00C1576A"/>
    <w:rsid w:val="00C158F4"/>
    <w:rsid w:val="00C16116"/>
    <w:rsid w:val="00C16479"/>
    <w:rsid w:val="00C20592"/>
    <w:rsid w:val="00C2119B"/>
    <w:rsid w:val="00C22A8F"/>
    <w:rsid w:val="00C23359"/>
    <w:rsid w:val="00C235DA"/>
    <w:rsid w:val="00C23769"/>
    <w:rsid w:val="00C243F6"/>
    <w:rsid w:val="00C274DB"/>
    <w:rsid w:val="00C27DF9"/>
    <w:rsid w:val="00C3026D"/>
    <w:rsid w:val="00C303BE"/>
    <w:rsid w:val="00C30C67"/>
    <w:rsid w:val="00C30C76"/>
    <w:rsid w:val="00C32874"/>
    <w:rsid w:val="00C35038"/>
    <w:rsid w:val="00C3545A"/>
    <w:rsid w:val="00C362F0"/>
    <w:rsid w:val="00C36966"/>
    <w:rsid w:val="00C400AD"/>
    <w:rsid w:val="00C427B2"/>
    <w:rsid w:val="00C43178"/>
    <w:rsid w:val="00C43D0A"/>
    <w:rsid w:val="00C4562E"/>
    <w:rsid w:val="00C46415"/>
    <w:rsid w:val="00C47796"/>
    <w:rsid w:val="00C47BB3"/>
    <w:rsid w:val="00C50B01"/>
    <w:rsid w:val="00C515ED"/>
    <w:rsid w:val="00C518CA"/>
    <w:rsid w:val="00C51961"/>
    <w:rsid w:val="00C5307F"/>
    <w:rsid w:val="00C534FD"/>
    <w:rsid w:val="00C55958"/>
    <w:rsid w:val="00C56A73"/>
    <w:rsid w:val="00C56EC2"/>
    <w:rsid w:val="00C57832"/>
    <w:rsid w:val="00C6372A"/>
    <w:rsid w:val="00C63EF2"/>
    <w:rsid w:val="00C644B4"/>
    <w:rsid w:val="00C65540"/>
    <w:rsid w:val="00C66E2D"/>
    <w:rsid w:val="00C704A5"/>
    <w:rsid w:val="00C70B0F"/>
    <w:rsid w:val="00C73E0A"/>
    <w:rsid w:val="00C747F6"/>
    <w:rsid w:val="00C76A76"/>
    <w:rsid w:val="00C77B0D"/>
    <w:rsid w:val="00C804A2"/>
    <w:rsid w:val="00C8136B"/>
    <w:rsid w:val="00C83936"/>
    <w:rsid w:val="00C8394D"/>
    <w:rsid w:val="00C848F5"/>
    <w:rsid w:val="00C85052"/>
    <w:rsid w:val="00C85DB8"/>
    <w:rsid w:val="00C87753"/>
    <w:rsid w:val="00C87903"/>
    <w:rsid w:val="00C87B9D"/>
    <w:rsid w:val="00C87EEA"/>
    <w:rsid w:val="00C90BB5"/>
    <w:rsid w:val="00C91BE2"/>
    <w:rsid w:val="00C92638"/>
    <w:rsid w:val="00C93651"/>
    <w:rsid w:val="00C95318"/>
    <w:rsid w:val="00C96050"/>
    <w:rsid w:val="00C96601"/>
    <w:rsid w:val="00C96B0C"/>
    <w:rsid w:val="00C97532"/>
    <w:rsid w:val="00CA156F"/>
    <w:rsid w:val="00CA3289"/>
    <w:rsid w:val="00CA4DAE"/>
    <w:rsid w:val="00CA533B"/>
    <w:rsid w:val="00CA69DC"/>
    <w:rsid w:val="00CA7841"/>
    <w:rsid w:val="00CB0246"/>
    <w:rsid w:val="00CB18F7"/>
    <w:rsid w:val="00CB2141"/>
    <w:rsid w:val="00CB24D8"/>
    <w:rsid w:val="00CB2B10"/>
    <w:rsid w:val="00CB2D99"/>
    <w:rsid w:val="00CB3952"/>
    <w:rsid w:val="00CB63AF"/>
    <w:rsid w:val="00CB656A"/>
    <w:rsid w:val="00CC288A"/>
    <w:rsid w:val="00CC2E26"/>
    <w:rsid w:val="00CC378E"/>
    <w:rsid w:val="00CC3D28"/>
    <w:rsid w:val="00CC3F93"/>
    <w:rsid w:val="00CC4C31"/>
    <w:rsid w:val="00CC6061"/>
    <w:rsid w:val="00CC77B7"/>
    <w:rsid w:val="00CC77D9"/>
    <w:rsid w:val="00CD0069"/>
    <w:rsid w:val="00CD076B"/>
    <w:rsid w:val="00CD21DD"/>
    <w:rsid w:val="00CD2C77"/>
    <w:rsid w:val="00CD4C5B"/>
    <w:rsid w:val="00CD6408"/>
    <w:rsid w:val="00CE0CB6"/>
    <w:rsid w:val="00CE50D3"/>
    <w:rsid w:val="00CE5586"/>
    <w:rsid w:val="00CE5CF0"/>
    <w:rsid w:val="00CE7588"/>
    <w:rsid w:val="00CF0E93"/>
    <w:rsid w:val="00CF2007"/>
    <w:rsid w:val="00CF20BE"/>
    <w:rsid w:val="00CF3671"/>
    <w:rsid w:val="00CF3EE1"/>
    <w:rsid w:val="00CF4034"/>
    <w:rsid w:val="00CF41B4"/>
    <w:rsid w:val="00CF453B"/>
    <w:rsid w:val="00CF4A92"/>
    <w:rsid w:val="00CF589A"/>
    <w:rsid w:val="00CF5E4F"/>
    <w:rsid w:val="00CF7302"/>
    <w:rsid w:val="00CF7CC8"/>
    <w:rsid w:val="00D0044A"/>
    <w:rsid w:val="00D007DB"/>
    <w:rsid w:val="00D016D8"/>
    <w:rsid w:val="00D01BFB"/>
    <w:rsid w:val="00D02D45"/>
    <w:rsid w:val="00D037E9"/>
    <w:rsid w:val="00D03BC5"/>
    <w:rsid w:val="00D0401B"/>
    <w:rsid w:val="00D05EFD"/>
    <w:rsid w:val="00D06650"/>
    <w:rsid w:val="00D06F89"/>
    <w:rsid w:val="00D077D0"/>
    <w:rsid w:val="00D07A3D"/>
    <w:rsid w:val="00D103EF"/>
    <w:rsid w:val="00D10900"/>
    <w:rsid w:val="00D11A4F"/>
    <w:rsid w:val="00D124FB"/>
    <w:rsid w:val="00D14CD4"/>
    <w:rsid w:val="00D157E8"/>
    <w:rsid w:val="00D15A8E"/>
    <w:rsid w:val="00D15BE2"/>
    <w:rsid w:val="00D16B07"/>
    <w:rsid w:val="00D171E0"/>
    <w:rsid w:val="00D20FF5"/>
    <w:rsid w:val="00D222BD"/>
    <w:rsid w:val="00D222FD"/>
    <w:rsid w:val="00D23522"/>
    <w:rsid w:val="00D2416D"/>
    <w:rsid w:val="00D24627"/>
    <w:rsid w:val="00D25484"/>
    <w:rsid w:val="00D26331"/>
    <w:rsid w:val="00D26F5C"/>
    <w:rsid w:val="00D27C19"/>
    <w:rsid w:val="00D30404"/>
    <w:rsid w:val="00D30699"/>
    <w:rsid w:val="00D3076C"/>
    <w:rsid w:val="00D3101B"/>
    <w:rsid w:val="00D31BAD"/>
    <w:rsid w:val="00D322A0"/>
    <w:rsid w:val="00D334F7"/>
    <w:rsid w:val="00D3391F"/>
    <w:rsid w:val="00D33E6C"/>
    <w:rsid w:val="00D3493F"/>
    <w:rsid w:val="00D34F65"/>
    <w:rsid w:val="00D36A86"/>
    <w:rsid w:val="00D377F5"/>
    <w:rsid w:val="00D4047E"/>
    <w:rsid w:val="00D404D0"/>
    <w:rsid w:val="00D40BEF"/>
    <w:rsid w:val="00D40DE2"/>
    <w:rsid w:val="00D4159B"/>
    <w:rsid w:val="00D4165D"/>
    <w:rsid w:val="00D4198A"/>
    <w:rsid w:val="00D42FAF"/>
    <w:rsid w:val="00D444F3"/>
    <w:rsid w:val="00D45707"/>
    <w:rsid w:val="00D45743"/>
    <w:rsid w:val="00D45769"/>
    <w:rsid w:val="00D45EE2"/>
    <w:rsid w:val="00D474C5"/>
    <w:rsid w:val="00D47506"/>
    <w:rsid w:val="00D47984"/>
    <w:rsid w:val="00D50B2B"/>
    <w:rsid w:val="00D51623"/>
    <w:rsid w:val="00D51783"/>
    <w:rsid w:val="00D51B38"/>
    <w:rsid w:val="00D52701"/>
    <w:rsid w:val="00D53764"/>
    <w:rsid w:val="00D53DF3"/>
    <w:rsid w:val="00D53E2C"/>
    <w:rsid w:val="00D5418A"/>
    <w:rsid w:val="00D544CA"/>
    <w:rsid w:val="00D548FA"/>
    <w:rsid w:val="00D55754"/>
    <w:rsid w:val="00D57324"/>
    <w:rsid w:val="00D57B9E"/>
    <w:rsid w:val="00D60302"/>
    <w:rsid w:val="00D60A01"/>
    <w:rsid w:val="00D62318"/>
    <w:rsid w:val="00D62DC8"/>
    <w:rsid w:val="00D63D2B"/>
    <w:rsid w:val="00D641A7"/>
    <w:rsid w:val="00D65770"/>
    <w:rsid w:val="00D66C8F"/>
    <w:rsid w:val="00D67016"/>
    <w:rsid w:val="00D67159"/>
    <w:rsid w:val="00D6754D"/>
    <w:rsid w:val="00D675F3"/>
    <w:rsid w:val="00D67AE7"/>
    <w:rsid w:val="00D701B2"/>
    <w:rsid w:val="00D703A6"/>
    <w:rsid w:val="00D70AD6"/>
    <w:rsid w:val="00D71411"/>
    <w:rsid w:val="00D714D3"/>
    <w:rsid w:val="00D722BF"/>
    <w:rsid w:val="00D722F4"/>
    <w:rsid w:val="00D72870"/>
    <w:rsid w:val="00D72DD7"/>
    <w:rsid w:val="00D7306F"/>
    <w:rsid w:val="00D73E30"/>
    <w:rsid w:val="00D75B38"/>
    <w:rsid w:val="00D75D1C"/>
    <w:rsid w:val="00D7606D"/>
    <w:rsid w:val="00D76BE6"/>
    <w:rsid w:val="00D80418"/>
    <w:rsid w:val="00D80D44"/>
    <w:rsid w:val="00D80F99"/>
    <w:rsid w:val="00D81054"/>
    <w:rsid w:val="00D819E0"/>
    <w:rsid w:val="00D81A23"/>
    <w:rsid w:val="00D820C5"/>
    <w:rsid w:val="00D824BE"/>
    <w:rsid w:val="00D82E95"/>
    <w:rsid w:val="00D82F9C"/>
    <w:rsid w:val="00D83674"/>
    <w:rsid w:val="00D846C9"/>
    <w:rsid w:val="00D849BF"/>
    <w:rsid w:val="00D86DFE"/>
    <w:rsid w:val="00D8734F"/>
    <w:rsid w:val="00D87D55"/>
    <w:rsid w:val="00D90F86"/>
    <w:rsid w:val="00D9121A"/>
    <w:rsid w:val="00D92ED0"/>
    <w:rsid w:val="00D93265"/>
    <w:rsid w:val="00D9688F"/>
    <w:rsid w:val="00DA0523"/>
    <w:rsid w:val="00DA27B0"/>
    <w:rsid w:val="00DA30E5"/>
    <w:rsid w:val="00DA3B33"/>
    <w:rsid w:val="00DA45FE"/>
    <w:rsid w:val="00DA6828"/>
    <w:rsid w:val="00DA6A26"/>
    <w:rsid w:val="00DA7141"/>
    <w:rsid w:val="00DA726A"/>
    <w:rsid w:val="00DA7533"/>
    <w:rsid w:val="00DB04E9"/>
    <w:rsid w:val="00DB14BE"/>
    <w:rsid w:val="00DB1982"/>
    <w:rsid w:val="00DB1F3E"/>
    <w:rsid w:val="00DB1FA8"/>
    <w:rsid w:val="00DB2F07"/>
    <w:rsid w:val="00DB3954"/>
    <w:rsid w:val="00DB3E87"/>
    <w:rsid w:val="00DB450B"/>
    <w:rsid w:val="00DB5F47"/>
    <w:rsid w:val="00DB6533"/>
    <w:rsid w:val="00DB6C4C"/>
    <w:rsid w:val="00DB7CBF"/>
    <w:rsid w:val="00DC0D46"/>
    <w:rsid w:val="00DC167F"/>
    <w:rsid w:val="00DC339E"/>
    <w:rsid w:val="00DC5055"/>
    <w:rsid w:val="00DC63B9"/>
    <w:rsid w:val="00DC6413"/>
    <w:rsid w:val="00DC6A51"/>
    <w:rsid w:val="00DC7858"/>
    <w:rsid w:val="00DC7951"/>
    <w:rsid w:val="00DD05E8"/>
    <w:rsid w:val="00DD1B88"/>
    <w:rsid w:val="00DD2E2C"/>
    <w:rsid w:val="00DD3FA1"/>
    <w:rsid w:val="00DD5443"/>
    <w:rsid w:val="00DD57A2"/>
    <w:rsid w:val="00DD64DE"/>
    <w:rsid w:val="00DD6E79"/>
    <w:rsid w:val="00DD7C1A"/>
    <w:rsid w:val="00DD7C2B"/>
    <w:rsid w:val="00DD7F2B"/>
    <w:rsid w:val="00DE00AA"/>
    <w:rsid w:val="00DE0CCC"/>
    <w:rsid w:val="00DE20F5"/>
    <w:rsid w:val="00DE3176"/>
    <w:rsid w:val="00DE331E"/>
    <w:rsid w:val="00DE3C16"/>
    <w:rsid w:val="00DE43EC"/>
    <w:rsid w:val="00DE4459"/>
    <w:rsid w:val="00DE559D"/>
    <w:rsid w:val="00DE5B53"/>
    <w:rsid w:val="00DE753D"/>
    <w:rsid w:val="00DF00BB"/>
    <w:rsid w:val="00DF0E73"/>
    <w:rsid w:val="00DF1A17"/>
    <w:rsid w:val="00DF1EF4"/>
    <w:rsid w:val="00DF2910"/>
    <w:rsid w:val="00DF554A"/>
    <w:rsid w:val="00DF5FD2"/>
    <w:rsid w:val="00DF6240"/>
    <w:rsid w:val="00DF6C7A"/>
    <w:rsid w:val="00DF7493"/>
    <w:rsid w:val="00DF77D8"/>
    <w:rsid w:val="00E00484"/>
    <w:rsid w:val="00E0138C"/>
    <w:rsid w:val="00E01A6D"/>
    <w:rsid w:val="00E01BAC"/>
    <w:rsid w:val="00E038D7"/>
    <w:rsid w:val="00E052A9"/>
    <w:rsid w:val="00E06018"/>
    <w:rsid w:val="00E0602C"/>
    <w:rsid w:val="00E0679F"/>
    <w:rsid w:val="00E06DA7"/>
    <w:rsid w:val="00E06E4B"/>
    <w:rsid w:val="00E0773D"/>
    <w:rsid w:val="00E111A8"/>
    <w:rsid w:val="00E1121F"/>
    <w:rsid w:val="00E122FF"/>
    <w:rsid w:val="00E12606"/>
    <w:rsid w:val="00E129F8"/>
    <w:rsid w:val="00E12E69"/>
    <w:rsid w:val="00E13941"/>
    <w:rsid w:val="00E1426C"/>
    <w:rsid w:val="00E16FDF"/>
    <w:rsid w:val="00E20041"/>
    <w:rsid w:val="00E20449"/>
    <w:rsid w:val="00E20715"/>
    <w:rsid w:val="00E20AF3"/>
    <w:rsid w:val="00E22855"/>
    <w:rsid w:val="00E23355"/>
    <w:rsid w:val="00E23E36"/>
    <w:rsid w:val="00E244EA"/>
    <w:rsid w:val="00E24829"/>
    <w:rsid w:val="00E25CC0"/>
    <w:rsid w:val="00E277AF"/>
    <w:rsid w:val="00E27E81"/>
    <w:rsid w:val="00E304A6"/>
    <w:rsid w:val="00E32810"/>
    <w:rsid w:val="00E34D2C"/>
    <w:rsid w:val="00E357AE"/>
    <w:rsid w:val="00E36EBE"/>
    <w:rsid w:val="00E37895"/>
    <w:rsid w:val="00E37C92"/>
    <w:rsid w:val="00E37E0D"/>
    <w:rsid w:val="00E41465"/>
    <w:rsid w:val="00E4269C"/>
    <w:rsid w:val="00E42EA5"/>
    <w:rsid w:val="00E4303D"/>
    <w:rsid w:val="00E430D0"/>
    <w:rsid w:val="00E431AC"/>
    <w:rsid w:val="00E43EC8"/>
    <w:rsid w:val="00E4566E"/>
    <w:rsid w:val="00E46307"/>
    <w:rsid w:val="00E4676E"/>
    <w:rsid w:val="00E474D0"/>
    <w:rsid w:val="00E47847"/>
    <w:rsid w:val="00E50511"/>
    <w:rsid w:val="00E52DC5"/>
    <w:rsid w:val="00E5414B"/>
    <w:rsid w:val="00E54E20"/>
    <w:rsid w:val="00E555C4"/>
    <w:rsid w:val="00E563A6"/>
    <w:rsid w:val="00E56C06"/>
    <w:rsid w:val="00E60881"/>
    <w:rsid w:val="00E61248"/>
    <w:rsid w:val="00E62333"/>
    <w:rsid w:val="00E62801"/>
    <w:rsid w:val="00E6386A"/>
    <w:rsid w:val="00E6394E"/>
    <w:rsid w:val="00E6441E"/>
    <w:rsid w:val="00E6646A"/>
    <w:rsid w:val="00E66C5E"/>
    <w:rsid w:val="00E6711D"/>
    <w:rsid w:val="00E67628"/>
    <w:rsid w:val="00E67747"/>
    <w:rsid w:val="00E67B60"/>
    <w:rsid w:val="00E67BC9"/>
    <w:rsid w:val="00E70A91"/>
    <w:rsid w:val="00E7101B"/>
    <w:rsid w:val="00E71305"/>
    <w:rsid w:val="00E71C6F"/>
    <w:rsid w:val="00E755DC"/>
    <w:rsid w:val="00E7572C"/>
    <w:rsid w:val="00E759C8"/>
    <w:rsid w:val="00E774E5"/>
    <w:rsid w:val="00E8172C"/>
    <w:rsid w:val="00E818FE"/>
    <w:rsid w:val="00E81EAA"/>
    <w:rsid w:val="00E846FA"/>
    <w:rsid w:val="00E84C61"/>
    <w:rsid w:val="00E84D54"/>
    <w:rsid w:val="00E86E01"/>
    <w:rsid w:val="00E900ED"/>
    <w:rsid w:val="00E91069"/>
    <w:rsid w:val="00E915AC"/>
    <w:rsid w:val="00E9248E"/>
    <w:rsid w:val="00E93817"/>
    <w:rsid w:val="00E93E73"/>
    <w:rsid w:val="00E93EAE"/>
    <w:rsid w:val="00E959F5"/>
    <w:rsid w:val="00E969F1"/>
    <w:rsid w:val="00E9738B"/>
    <w:rsid w:val="00E9769D"/>
    <w:rsid w:val="00EA0343"/>
    <w:rsid w:val="00EA0375"/>
    <w:rsid w:val="00EA0FFA"/>
    <w:rsid w:val="00EA3E43"/>
    <w:rsid w:val="00EA5A65"/>
    <w:rsid w:val="00EA61B4"/>
    <w:rsid w:val="00EA7C4A"/>
    <w:rsid w:val="00EB107D"/>
    <w:rsid w:val="00EB2648"/>
    <w:rsid w:val="00EB2E7E"/>
    <w:rsid w:val="00EB31DD"/>
    <w:rsid w:val="00EB475B"/>
    <w:rsid w:val="00EB478C"/>
    <w:rsid w:val="00EB4C17"/>
    <w:rsid w:val="00EB6075"/>
    <w:rsid w:val="00EB6BB2"/>
    <w:rsid w:val="00EB75DF"/>
    <w:rsid w:val="00EB7778"/>
    <w:rsid w:val="00EC0050"/>
    <w:rsid w:val="00EC01E6"/>
    <w:rsid w:val="00EC2286"/>
    <w:rsid w:val="00EC398A"/>
    <w:rsid w:val="00EC4BFE"/>
    <w:rsid w:val="00EC5BB7"/>
    <w:rsid w:val="00EC6370"/>
    <w:rsid w:val="00EC65E8"/>
    <w:rsid w:val="00EC6690"/>
    <w:rsid w:val="00ED0BF5"/>
    <w:rsid w:val="00ED156C"/>
    <w:rsid w:val="00ED1DFE"/>
    <w:rsid w:val="00ED2407"/>
    <w:rsid w:val="00ED3517"/>
    <w:rsid w:val="00ED3561"/>
    <w:rsid w:val="00ED3E2C"/>
    <w:rsid w:val="00ED4207"/>
    <w:rsid w:val="00ED4D5A"/>
    <w:rsid w:val="00ED55A4"/>
    <w:rsid w:val="00ED5985"/>
    <w:rsid w:val="00ED5A18"/>
    <w:rsid w:val="00ED5E60"/>
    <w:rsid w:val="00ED7659"/>
    <w:rsid w:val="00EE0F5D"/>
    <w:rsid w:val="00EE113B"/>
    <w:rsid w:val="00EE12A9"/>
    <w:rsid w:val="00EE1793"/>
    <w:rsid w:val="00EE1E5E"/>
    <w:rsid w:val="00EE2012"/>
    <w:rsid w:val="00EE28E6"/>
    <w:rsid w:val="00EE348B"/>
    <w:rsid w:val="00EE3504"/>
    <w:rsid w:val="00EE49BA"/>
    <w:rsid w:val="00EE5997"/>
    <w:rsid w:val="00EE61A3"/>
    <w:rsid w:val="00EE68A0"/>
    <w:rsid w:val="00EE6F9B"/>
    <w:rsid w:val="00EE74E9"/>
    <w:rsid w:val="00EE7EA5"/>
    <w:rsid w:val="00EF0332"/>
    <w:rsid w:val="00EF0A18"/>
    <w:rsid w:val="00EF1956"/>
    <w:rsid w:val="00EF30CD"/>
    <w:rsid w:val="00EF3315"/>
    <w:rsid w:val="00EF3479"/>
    <w:rsid w:val="00EF38BD"/>
    <w:rsid w:val="00EF3F3C"/>
    <w:rsid w:val="00EF63E5"/>
    <w:rsid w:val="00EF69F6"/>
    <w:rsid w:val="00EF6CFA"/>
    <w:rsid w:val="00EF6DCF"/>
    <w:rsid w:val="00EF7614"/>
    <w:rsid w:val="00F00949"/>
    <w:rsid w:val="00F029F5"/>
    <w:rsid w:val="00F02CD3"/>
    <w:rsid w:val="00F037BF"/>
    <w:rsid w:val="00F03E9D"/>
    <w:rsid w:val="00F03F5F"/>
    <w:rsid w:val="00F04AE1"/>
    <w:rsid w:val="00F05BAF"/>
    <w:rsid w:val="00F070D3"/>
    <w:rsid w:val="00F10420"/>
    <w:rsid w:val="00F1132E"/>
    <w:rsid w:val="00F11A40"/>
    <w:rsid w:val="00F11EE1"/>
    <w:rsid w:val="00F1212B"/>
    <w:rsid w:val="00F1392B"/>
    <w:rsid w:val="00F14481"/>
    <w:rsid w:val="00F1520E"/>
    <w:rsid w:val="00F166FE"/>
    <w:rsid w:val="00F16810"/>
    <w:rsid w:val="00F174B5"/>
    <w:rsid w:val="00F215A2"/>
    <w:rsid w:val="00F21B6F"/>
    <w:rsid w:val="00F21FA0"/>
    <w:rsid w:val="00F230ED"/>
    <w:rsid w:val="00F23595"/>
    <w:rsid w:val="00F239BD"/>
    <w:rsid w:val="00F247C7"/>
    <w:rsid w:val="00F25E0C"/>
    <w:rsid w:val="00F261D8"/>
    <w:rsid w:val="00F277DD"/>
    <w:rsid w:val="00F3099D"/>
    <w:rsid w:val="00F30F25"/>
    <w:rsid w:val="00F3157D"/>
    <w:rsid w:val="00F315DA"/>
    <w:rsid w:val="00F3164F"/>
    <w:rsid w:val="00F31953"/>
    <w:rsid w:val="00F3273B"/>
    <w:rsid w:val="00F32E77"/>
    <w:rsid w:val="00F343C8"/>
    <w:rsid w:val="00F34B62"/>
    <w:rsid w:val="00F34CA9"/>
    <w:rsid w:val="00F352D7"/>
    <w:rsid w:val="00F357A6"/>
    <w:rsid w:val="00F37D7B"/>
    <w:rsid w:val="00F41A3A"/>
    <w:rsid w:val="00F4211C"/>
    <w:rsid w:val="00F432ED"/>
    <w:rsid w:val="00F43810"/>
    <w:rsid w:val="00F43E76"/>
    <w:rsid w:val="00F4427E"/>
    <w:rsid w:val="00F44674"/>
    <w:rsid w:val="00F45C28"/>
    <w:rsid w:val="00F4735C"/>
    <w:rsid w:val="00F4757D"/>
    <w:rsid w:val="00F50BD2"/>
    <w:rsid w:val="00F50E32"/>
    <w:rsid w:val="00F50EF3"/>
    <w:rsid w:val="00F51DF3"/>
    <w:rsid w:val="00F52825"/>
    <w:rsid w:val="00F53041"/>
    <w:rsid w:val="00F53322"/>
    <w:rsid w:val="00F53C4F"/>
    <w:rsid w:val="00F53CCC"/>
    <w:rsid w:val="00F53F29"/>
    <w:rsid w:val="00F54098"/>
    <w:rsid w:val="00F5441E"/>
    <w:rsid w:val="00F554C8"/>
    <w:rsid w:val="00F55AD7"/>
    <w:rsid w:val="00F56082"/>
    <w:rsid w:val="00F57F01"/>
    <w:rsid w:val="00F609B9"/>
    <w:rsid w:val="00F60D8E"/>
    <w:rsid w:val="00F6148B"/>
    <w:rsid w:val="00F6400F"/>
    <w:rsid w:val="00F641EF"/>
    <w:rsid w:val="00F64AAF"/>
    <w:rsid w:val="00F65BA8"/>
    <w:rsid w:val="00F70B23"/>
    <w:rsid w:val="00F731FB"/>
    <w:rsid w:val="00F73638"/>
    <w:rsid w:val="00F748BB"/>
    <w:rsid w:val="00F75396"/>
    <w:rsid w:val="00F76CA7"/>
    <w:rsid w:val="00F81AC2"/>
    <w:rsid w:val="00F82332"/>
    <w:rsid w:val="00F82D3F"/>
    <w:rsid w:val="00F83643"/>
    <w:rsid w:val="00F84000"/>
    <w:rsid w:val="00F84C82"/>
    <w:rsid w:val="00F854E7"/>
    <w:rsid w:val="00F856C9"/>
    <w:rsid w:val="00F85C06"/>
    <w:rsid w:val="00F86381"/>
    <w:rsid w:val="00F86DFA"/>
    <w:rsid w:val="00F871FA"/>
    <w:rsid w:val="00F9092C"/>
    <w:rsid w:val="00F9098C"/>
    <w:rsid w:val="00F90BA2"/>
    <w:rsid w:val="00F91128"/>
    <w:rsid w:val="00F9150B"/>
    <w:rsid w:val="00F91539"/>
    <w:rsid w:val="00F919DE"/>
    <w:rsid w:val="00F95881"/>
    <w:rsid w:val="00F95987"/>
    <w:rsid w:val="00F969B2"/>
    <w:rsid w:val="00F96A65"/>
    <w:rsid w:val="00F96AAA"/>
    <w:rsid w:val="00F97182"/>
    <w:rsid w:val="00F97DB0"/>
    <w:rsid w:val="00FA0376"/>
    <w:rsid w:val="00FA0593"/>
    <w:rsid w:val="00FA06E5"/>
    <w:rsid w:val="00FA08B8"/>
    <w:rsid w:val="00FA0933"/>
    <w:rsid w:val="00FA0F84"/>
    <w:rsid w:val="00FA1415"/>
    <w:rsid w:val="00FA1BCF"/>
    <w:rsid w:val="00FA1D59"/>
    <w:rsid w:val="00FA2E85"/>
    <w:rsid w:val="00FA310D"/>
    <w:rsid w:val="00FA3441"/>
    <w:rsid w:val="00FA5714"/>
    <w:rsid w:val="00FA59A5"/>
    <w:rsid w:val="00FA6E04"/>
    <w:rsid w:val="00FA7244"/>
    <w:rsid w:val="00FA77E5"/>
    <w:rsid w:val="00FA794E"/>
    <w:rsid w:val="00FA7CA8"/>
    <w:rsid w:val="00FB06D0"/>
    <w:rsid w:val="00FB24DF"/>
    <w:rsid w:val="00FB3C6D"/>
    <w:rsid w:val="00FB4954"/>
    <w:rsid w:val="00FB5373"/>
    <w:rsid w:val="00FB5C11"/>
    <w:rsid w:val="00FB67C4"/>
    <w:rsid w:val="00FB7B66"/>
    <w:rsid w:val="00FC08EB"/>
    <w:rsid w:val="00FC0970"/>
    <w:rsid w:val="00FC0C4F"/>
    <w:rsid w:val="00FC1062"/>
    <w:rsid w:val="00FC1DE9"/>
    <w:rsid w:val="00FC2037"/>
    <w:rsid w:val="00FC25F9"/>
    <w:rsid w:val="00FC306B"/>
    <w:rsid w:val="00FC33C9"/>
    <w:rsid w:val="00FC374B"/>
    <w:rsid w:val="00FC4568"/>
    <w:rsid w:val="00FC4FD2"/>
    <w:rsid w:val="00FC530E"/>
    <w:rsid w:val="00FC5C76"/>
    <w:rsid w:val="00FC616E"/>
    <w:rsid w:val="00FC70B6"/>
    <w:rsid w:val="00FC752B"/>
    <w:rsid w:val="00FD0D92"/>
    <w:rsid w:val="00FD1722"/>
    <w:rsid w:val="00FD2503"/>
    <w:rsid w:val="00FD2BE0"/>
    <w:rsid w:val="00FD398B"/>
    <w:rsid w:val="00FD46E3"/>
    <w:rsid w:val="00FD586F"/>
    <w:rsid w:val="00FD5A08"/>
    <w:rsid w:val="00FD76C5"/>
    <w:rsid w:val="00FD79E5"/>
    <w:rsid w:val="00FE01A7"/>
    <w:rsid w:val="00FE0BA5"/>
    <w:rsid w:val="00FE11C0"/>
    <w:rsid w:val="00FE136F"/>
    <w:rsid w:val="00FE13CC"/>
    <w:rsid w:val="00FE18A4"/>
    <w:rsid w:val="00FE3845"/>
    <w:rsid w:val="00FE4363"/>
    <w:rsid w:val="00FE43E2"/>
    <w:rsid w:val="00FE533E"/>
    <w:rsid w:val="00FE57D3"/>
    <w:rsid w:val="00FE6EDF"/>
    <w:rsid w:val="00FE7F04"/>
    <w:rsid w:val="00FF0CBF"/>
    <w:rsid w:val="00FF306B"/>
    <w:rsid w:val="00FF41C7"/>
    <w:rsid w:val="00FF6ACD"/>
    <w:rsid w:val="00FF6AE3"/>
    <w:rsid w:val="00FF6D70"/>
    <w:rsid w:val="00FF7043"/>
    <w:rsid w:val="00FF737C"/>
    <w:rsid w:val="01DB7A18"/>
    <w:rsid w:val="031C4785"/>
    <w:rsid w:val="03ED69DD"/>
    <w:rsid w:val="04C04E25"/>
    <w:rsid w:val="054816D7"/>
    <w:rsid w:val="060D7AD8"/>
    <w:rsid w:val="06E10E6A"/>
    <w:rsid w:val="082052B8"/>
    <w:rsid w:val="08E87D9A"/>
    <w:rsid w:val="0A8E1120"/>
    <w:rsid w:val="0AAF7AAB"/>
    <w:rsid w:val="0B2873FF"/>
    <w:rsid w:val="0B4E7334"/>
    <w:rsid w:val="0B9E1D6B"/>
    <w:rsid w:val="0BBF4C16"/>
    <w:rsid w:val="0BC27B66"/>
    <w:rsid w:val="0BD95EDC"/>
    <w:rsid w:val="0CBB5503"/>
    <w:rsid w:val="0D135153"/>
    <w:rsid w:val="0D380746"/>
    <w:rsid w:val="0E157E08"/>
    <w:rsid w:val="0FB3762C"/>
    <w:rsid w:val="1003453C"/>
    <w:rsid w:val="119302F5"/>
    <w:rsid w:val="11EA3904"/>
    <w:rsid w:val="12933160"/>
    <w:rsid w:val="12A97730"/>
    <w:rsid w:val="13E50CCA"/>
    <w:rsid w:val="1401138D"/>
    <w:rsid w:val="144F6D2C"/>
    <w:rsid w:val="14D0631B"/>
    <w:rsid w:val="15BB39B9"/>
    <w:rsid w:val="17156CE1"/>
    <w:rsid w:val="17D957EB"/>
    <w:rsid w:val="1AD1677E"/>
    <w:rsid w:val="1B0E0ED9"/>
    <w:rsid w:val="1C365E68"/>
    <w:rsid w:val="1CAA4793"/>
    <w:rsid w:val="1E6E2105"/>
    <w:rsid w:val="21240E18"/>
    <w:rsid w:val="2269510F"/>
    <w:rsid w:val="22A331BA"/>
    <w:rsid w:val="22B97166"/>
    <w:rsid w:val="244F1821"/>
    <w:rsid w:val="282A6BB9"/>
    <w:rsid w:val="28CA5F03"/>
    <w:rsid w:val="29516C14"/>
    <w:rsid w:val="2AC00D29"/>
    <w:rsid w:val="2C9A010D"/>
    <w:rsid w:val="2D741886"/>
    <w:rsid w:val="2DCC78A5"/>
    <w:rsid w:val="317F1F9C"/>
    <w:rsid w:val="327C5C0F"/>
    <w:rsid w:val="332473E5"/>
    <w:rsid w:val="332A50E7"/>
    <w:rsid w:val="332D270F"/>
    <w:rsid w:val="35525C71"/>
    <w:rsid w:val="35FF7532"/>
    <w:rsid w:val="36203869"/>
    <w:rsid w:val="375B4BDE"/>
    <w:rsid w:val="37652777"/>
    <w:rsid w:val="39E26E21"/>
    <w:rsid w:val="3A087656"/>
    <w:rsid w:val="3D7525BD"/>
    <w:rsid w:val="3E100989"/>
    <w:rsid w:val="3F2A0443"/>
    <w:rsid w:val="400C4783"/>
    <w:rsid w:val="40B364B6"/>
    <w:rsid w:val="43E6329B"/>
    <w:rsid w:val="442540E0"/>
    <w:rsid w:val="45210AE0"/>
    <w:rsid w:val="45D21FF1"/>
    <w:rsid w:val="464B0947"/>
    <w:rsid w:val="476C3EC5"/>
    <w:rsid w:val="489B0D20"/>
    <w:rsid w:val="49EA4AD1"/>
    <w:rsid w:val="49F123F8"/>
    <w:rsid w:val="4B39718D"/>
    <w:rsid w:val="4B871975"/>
    <w:rsid w:val="4C925167"/>
    <w:rsid w:val="4CF50888"/>
    <w:rsid w:val="4D450450"/>
    <w:rsid w:val="4F1813A4"/>
    <w:rsid w:val="4F5021CD"/>
    <w:rsid w:val="4F5A1A38"/>
    <w:rsid w:val="50667B06"/>
    <w:rsid w:val="50761FCF"/>
    <w:rsid w:val="50907962"/>
    <w:rsid w:val="511B4C4A"/>
    <w:rsid w:val="51D274B3"/>
    <w:rsid w:val="51FA0810"/>
    <w:rsid w:val="527F7816"/>
    <w:rsid w:val="52B5399E"/>
    <w:rsid w:val="54893076"/>
    <w:rsid w:val="56EB5620"/>
    <w:rsid w:val="57665E81"/>
    <w:rsid w:val="595356E4"/>
    <w:rsid w:val="5AC535AC"/>
    <w:rsid w:val="5AFD1FF9"/>
    <w:rsid w:val="5B4F4A93"/>
    <w:rsid w:val="5BBB4F81"/>
    <w:rsid w:val="5CD13220"/>
    <w:rsid w:val="5DB55782"/>
    <w:rsid w:val="5DBA57D6"/>
    <w:rsid w:val="5EA46D9B"/>
    <w:rsid w:val="5F755446"/>
    <w:rsid w:val="602A7BE0"/>
    <w:rsid w:val="60A232E0"/>
    <w:rsid w:val="60A42E70"/>
    <w:rsid w:val="623570E5"/>
    <w:rsid w:val="62EB62F8"/>
    <w:rsid w:val="638717B0"/>
    <w:rsid w:val="63941108"/>
    <w:rsid w:val="650B1674"/>
    <w:rsid w:val="65184F73"/>
    <w:rsid w:val="660C57D5"/>
    <w:rsid w:val="668612BE"/>
    <w:rsid w:val="673E587A"/>
    <w:rsid w:val="683B7709"/>
    <w:rsid w:val="6C5E1C57"/>
    <w:rsid w:val="6C897084"/>
    <w:rsid w:val="6C90174A"/>
    <w:rsid w:val="705F6F94"/>
    <w:rsid w:val="70AA602F"/>
    <w:rsid w:val="732B63A7"/>
    <w:rsid w:val="73CF7901"/>
    <w:rsid w:val="73D163DD"/>
    <w:rsid w:val="73D57C45"/>
    <w:rsid w:val="765F6F8D"/>
    <w:rsid w:val="768568C8"/>
    <w:rsid w:val="76C00D00"/>
    <w:rsid w:val="78B91E65"/>
    <w:rsid w:val="790259B8"/>
    <w:rsid w:val="7B8A42CF"/>
    <w:rsid w:val="7C8D3E37"/>
    <w:rsid w:val="7D285FE3"/>
    <w:rsid w:val="7E2A6012"/>
    <w:rsid w:val="7E332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49"/>
    <w:qFormat/>
    <w:uiPriority w:val="0"/>
    <w:pPr>
      <w:keepNext/>
      <w:keepLines/>
      <w:spacing w:before="260" w:after="260" w:line="415" w:lineRule="auto"/>
      <w:outlineLvl w:val="1"/>
    </w:pPr>
    <w:rPr>
      <w:rFonts w:ascii="Arial" w:hAnsi="Arial" w:eastAsia="黑体"/>
      <w:b/>
      <w:bCs/>
      <w:sz w:val="32"/>
      <w:szCs w:val="32"/>
      <w:lang w:val="zh-CN" w:eastAsia="zh-CN"/>
    </w:rPr>
  </w:style>
  <w:style w:type="paragraph" w:styleId="4">
    <w:name w:val="heading 3"/>
    <w:basedOn w:val="1"/>
    <w:next w:val="1"/>
    <w:link w:val="50"/>
    <w:qFormat/>
    <w:uiPriority w:val="0"/>
    <w:pPr>
      <w:keepNext/>
      <w:outlineLvl w:val="2"/>
    </w:pPr>
    <w:rPr>
      <w:rFonts w:eastAsia="仿宋_GB2312"/>
      <w:b/>
      <w:bCs/>
      <w:sz w:val="30"/>
      <w:szCs w:val="30"/>
      <w:lang w:val="zh-CN" w:eastAsia="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iPriority w:val="0"/>
    <w:pPr>
      <w:ind w:left="1050"/>
      <w:jc w:val="left"/>
    </w:pPr>
    <w:rPr>
      <w:rFonts w:asciiTheme="minorHAnsi" w:eastAsiaTheme="minorHAnsi"/>
      <w:sz w:val="20"/>
      <w:szCs w:val="20"/>
    </w:rPr>
  </w:style>
  <w:style w:type="paragraph" w:styleId="6">
    <w:name w:val="Normal Indent"/>
    <w:basedOn w:val="1"/>
    <w:link w:val="32"/>
    <w:qFormat/>
    <w:uiPriority w:val="0"/>
    <w:pPr>
      <w:spacing w:line="360" w:lineRule="auto"/>
      <w:ind w:firstLine="420" w:firstLineChars="200"/>
      <w:jc w:val="left"/>
    </w:pPr>
    <w:rPr>
      <w:sz w:val="24"/>
    </w:rPr>
  </w:style>
  <w:style w:type="paragraph" w:styleId="7">
    <w:name w:val="Document Map"/>
    <w:basedOn w:val="1"/>
    <w:semiHidden/>
    <w:qFormat/>
    <w:uiPriority w:val="0"/>
    <w:pPr>
      <w:shd w:val="clear" w:color="auto" w:fill="000080"/>
    </w:pPr>
  </w:style>
  <w:style w:type="paragraph" w:styleId="8">
    <w:name w:val="annotation text"/>
    <w:basedOn w:val="1"/>
    <w:link w:val="64"/>
    <w:semiHidden/>
    <w:uiPriority w:val="0"/>
    <w:pPr>
      <w:jc w:val="left"/>
    </w:pPr>
  </w:style>
  <w:style w:type="paragraph" w:styleId="9">
    <w:name w:val="Body Text"/>
    <w:basedOn w:val="1"/>
    <w:link w:val="55"/>
    <w:qFormat/>
    <w:uiPriority w:val="0"/>
    <w:rPr>
      <w:sz w:val="30"/>
      <w:lang w:val="zh-CN" w:eastAsia="zh-CN"/>
    </w:rPr>
  </w:style>
  <w:style w:type="paragraph" w:styleId="10">
    <w:name w:val="toc 5"/>
    <w:basedOn w:val="1"/>
    <w:next w:val="1"/>
    <w:uiPriority w:val="0"/>
    <w:pPr>
      <w:ind w:left="630"/>
      <w:jc w:val="left"/>
    </w:pPr>
    <w:rPr>
      <w:rFonts w:asciiTheme="minorHAnsi" w:eastAsiaTheme="minorHAnsi"/>
      <w:sz w:val="20"/>
      <w:szCs w:val="20"/>
    </w:rPr>
  </w:style>
  <w:style w:type="paragraph" w:styleId="11">
    <w:name w:val="toc 3"/>
    <w:basedOn w:val="1"/>
    <w:next w:val="1"/>
    <w:unhideWhenUsed/>
    <w:uiPriority w:val="39"/>
    <w:pPr>
      <w:ind w:left="210"/>
      <w:jc w:val="left"/>
    </w:pPr>
    <w:rPr>
      <w:rFonts w:asciiTheme="minorHAnsi" w:eastAsiaTheme="minorHAnsi"/>
      <w:sz w:val="20"/>
      <w:szCs w:val="20"/>
    </w:rPr>
  </w:style>
  <w:style w:type="paragraph" w:styleId="12">
    <w:name w:val="toc 8"/>
    <w:basedOn w:val="1"/>
    <w:next w:val="1"/>
    <w:uiPriority w:val="0"/>
    <w:pPr>
      <w:ind w:left="1260"/>
      <w:jc w:val="left"/>
    </w:pPr>
    <w:rPr>
      <w:rFonts w:asciiTheme="minorHAnsi" w:eastAsiaTheme="minorHAnsi"/>
      <w:sz w:val="20"/>
      <w:szCs w:val="20"/>
    </w:rPr>
  </w:style>
  <w:style w:type="paragraph" w:styleId="13">
    <w:name w:val="Date"/>
    <w:basedOn w:val="1"/>
    <w:next w:val="1"/>
    <w:link w:val="46"/>
    <w:qFormat/>
    <w:uiPriority w:val="0"/>
    <w:pPr>
      <w:ind w:left="100" w:leftChars="2500"/>
    </w:pPr>
    <w:rPr>
      <w:lang w:val="zh-CN" w:eastAsia="zh-CN"/>
    </w:rPr>
  </w:style>
  <w:style w:type="paragraph" w:styleId="14">
    <w:name w:val="Balloon Text"/>
    <w:basedOn w:val="1"/>
    <w:semiHidden/>
    <w:qFormat/>
    <w:uiPriority w:val="0"/>
    <w:rPr>
      <w:sz w:val="18"/>
      <w:szCs w:val="18"/>
    </w:rPr>
  </w:style>
  <w:style w:type="paragraph" w:styleId="15">
    <w:name w:val="footer"/>
    <w:basedOn w:val="1"/>
    <w:link w:val="44"/>
    <w:qFormat/>
    <w:uiPriority w:val="99"/>
    <w:pPr>
      <w:tabs>
        <w:tab w:val="center" w:pos="4153"/>
        <w:tab w:val="right" w:pos="8306"/>
      </w:tabs>
      <w:snapToGrid w:val="0"/>
      <w:jc w:val="left"/>
    </w:pPr>
    <w:rPr>
      <w:sz w:val="18"/>
      <w:szCs w:val="18"/>
      <w:lang w:val="zh-CN" w:eastAsia="zh-CN"/>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toc 1"/>
    <w:basedOn w:val="1"/>
    <w:next w:val="1"/>
    <w:qFormat/>
    <w:uiPriority w:val="39"/>
    <w:pPr>
      <w:spacing w:before="360"/>
      <w:jc w:val="left"/>
    </w:pPr>
    <w:rPr>
      <w:rFonts w:asciiTheme="majorHAnsi" w:eastAsiaTheme="majorHAnsi"/>
      <w:b/>
      <w:bCs/>
      <w:caps/>
      <w:sz w:val="24"/>
    </w:rPr>
  </w:style>
  <w:style w:type="paragraph" w:styleId="18">
    <w:name w:val="toc 4"/>
    <w:basedOn w:val="1"/>
    <w:next w:val="1"/>
    <w:uiPriority w:val="0"/>
    <w:pPr>
      <w:ind w:left="420"/>
      <w:jc w:val="left"/>
    </w:pPr>
    <w:rPr>
      <w:rFonts w:asciiTheme="minorHAnsi" w:eastAsiaTheme="minorHAnsi"/>
      <w:sz w:val="20"/>
      <w:szCs w:val="20"/>
    </w:rPr>
  </w:style>
  <w:style w:type="paragraph" w:styleId="19">
    <w:name w:val="toc 6"/>
    <w:basedOn w:val="1"/>
    <w:next w:val="1"/>
    <w:uiPriority w:val="0"/>
    <w:pPr>
      <w:ind w:left="840"/>
      <w:jc w:val="left"/>
    </w:pPr>
    <w:rPr>
      <w:rFonts w:asciiTheme="minorHAnsi" w:eastAsiaTheme="minorHAnsi"/>
      <w:sz w:val="20"/>
      <w:szCs w:val="20"/>
    </w:rPr>
  </w:style>
  <w:style w:type="paragraph" w:styleId="20">
    <w:name w:val="toc 2"/>
    <w:basedOn w:val="1"/>
    <w:next w:val="1"/>
    <w:qFormat/>
    <w:uiPriority w:val="39"/>
    <w:pPr>
      <w:spacing w:before="240"/>
      <w:jc w:val="left"/>
    </w:pPr>
    <w:rPr>
      <w:rFonts w:asciiTheme="minorHAnsi" w:eastAsiaTheme="minorHAnsi"/>
      <w:b/>
      <w:bCs/>
      <w:sz w:val="20"/>
      <w:szCs w:val="20"/>
    </w:rPr>
  </w:style>
  <w:style w:type="paragraph" w:styleId="21">
    <w:name w:val="toc 9"/>
    <w:basedOn w:val="1"/>
    <w:next w:val="1"/>
    <w:uiPriority w:val="0"/>
    <w:pPr>
      <w:ind w:left="1470"/>
      <w:jc w:val="left"/>
    </w:pPr>
    <w:rPr>
      <w:rFonts w:asciiTheme="minorHAnsi" w:eastAsiaTheme="minorHAnsi"/>
      <w:sz w:val="20"/>
      <w:szCs w:val="20"/>
    </w:rPr>
  </w:style>
  <w:style w:type="paragraph" w:styleId="22">
    <w:name w:val="Title"/>
    <w:basedOn w:val="1"/>
    <w:next w:val="1"/>
    <w:link w:val="54"/>
    <w:qFormat/>
    <w:uiPriority w:val="0"/>
    <w:pPr>
      <w:spacing w:before="240" w:after="60"/>
      <w:jc w:val="center"/>
      <w:outlineLvl w:val="0"/>
    </w:pPr>
    <w:rPr>
      <w:rFonts w:ascii="Calibri Light" w:hAnsi="Calibri Light"/>
      <w:b/>
      <w:bCs/>
      <w:sz w:val="32"/>
      <w:szCs w:val="32"/>
      <w:lang w:val="zh-CN" w:eastAsia="zh-CN"/>
    </w:rPr>
  </w:style>
  <w:style w:type="paragraph" w:styleId="23">
    <w:name w:val="annotation subject"/>
    <w:basedOn w:val="8"/>
    <w:next w:val="8"/>
    <w:semiHidden/>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font71"/>
    <w:qFormat/>
    <w:uiPriority w:val="0"/>
    <w:rPr>
      <w:rFonts w:ascii="仿宋_GB2312" w:eastAsia="仿宋_GB2312" w:cs="仿宋_GB2312"/>
      <w:color w:val="auto"/>
      <w:sz w:val="21"/>
      <w:szCs w:val="21"/>
      <w:u w:val="none"/>
    </w:rPr>
  </w:style>
  <w:style w:type="character" w:customStyle="1" w:styleId="31">
    <w:name w:val="font11"/>
    <w:qFormat/>
    <w:uiPriority w:val="0"/>
    <w:rPr>
      <w:rFonts w:hint="default" w:ascii="Times New Roman" w:hAnsi="Times New Roman" w:cs="Times New Roman"/>
      <w:color w:val="000000"/>
      <w:sz w:val="20"/>
      <w:szCs w:val="20"/>
      <w:u w:val="none"/>
    </w:rPr>
  </w:style>
  <w:style w:type="character" w:customStyle="1" w:styleId="32">
    <w:name w:val="正文缩进 字符"/>
    <w:link w:val="6"/>
    <w:qFormat/>
    <w:uiPriority w:val="0"/>
    <w:rPr>
      <w:rFonts w:eastAsia="宋体"/>
      <w:kern w:val="2"/>
      <w:sz w:val="24"/>
      <w:szCs w:val="24"/>
      <w:lang w:val="en-US" w:eastAsia="zh-CN" w:bidi="ar-SA"/>
    </w:rPr>
  </w:style>
  <w:style w:type="character" w:customStyle="1" w:styleId="33">
    <w:name w:val="font21"/>
    <w:qFormat/>
    <w:uiPriority w:val="0"/>
    <w:rPr>
      <w:rFonts w:hint="eastAsia" w:ascii="宋体" w:hAnsi="宋体" w:eastAsia="宋体" w:cs="宋体"/>
      <w:color w:val="000000"/>
      <w:sz w:val="20"/>
      <w:szCs w:val="20"/>
      <w:u w:val="none"/>
    </w:rPr>
  </w:style>
  <w:style w:type="character" w:customStyle="1" w:styleId="34">
    <w:name w:val="日期 Char1"/>
    <w:qFormat/>
    <w:uiPriority w:val="0"/>
    <w:rPr>
      <w:kern w:val="2"/>
      <w:sz w:val="21"/>
      <w:szCs w:val="24"/>
    </w:rPr>
  </w:style>
  <w:style w:type="character" w:customStyle="1" w:styleId="35">
    <w:name w:val="页眉 字符"/>
    <w:link w:val="16"/>
    <w:qFormat/>
    <w:uiPriority w:val="0"/>
    <w:rPr>
      <w:kern w:val="2"/>
      <w:sz w:val="18"/>
      <w:szCs w:val="18"/>
    </w:rPr>
  </w:style>
  <w:style w:type="character" w:customStyle="1" w:styleId="36">
    <w:name w:val="font51"/>
    <w:qFormat/>
    <w:uiPriority w:val="0"/>
    <w:rPr>
      <w:rFonts w:hint="default" w:ascii="Times New Roman" w:hAnsi="Times New Roman" w:cs="Times New Roman"/>
      <w:b/>
      <w:color w:val="000000"/>
      <w:sz w:val="20"/>
      <w:szCs w:val="20"/>
      <w:u w:val="none"/>
    </w:rPr>
  </w:style>
  <w:style w:type="character" w:customStyle="1" w:styleId="37">
    <w:name w:val="font41"/>
    <w:qFormat/>
    <w:uiPriority w:val="0"/>
    <w:rPr>
      <w:rFonts w:hint="default" w:ascii="Times New Roman" w:hAnsi="Times New Roman" w:cs="Times New Roman"/>
      <w:color w:val="000000"/>
      <w:sz w:val="21"/>
      <w:szCs w:val="21"/>
      <w:u w:val="none"/>
    </w:rPr>
  </w:style>
  <w:style w:type="character" w:customStyle="1" w:styleId="38">
    <w:name w:val="!正文(alt+c) Char4"/>
    <w:link w:val="39"/>
    <w:uiPriority w:val="0"/>
    <w:rPr>
      <w:sz w:val="24"/>
      <w:szCs w:val="24"/>
      <w:lang w:val="en-US" w:eastAsia="zh-CN" w:bidi="ar-SA"/>
    </w:rPr>
  </w:style>
  <w:style w:type="paragraph" w:customStyle="1" w:styleId="39">
    <w:name w:val="!正文(alt+c)"/>
    <w:link w:val="38"/>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character" w:customStyle="1" w:styleId="40">
    <w:name w:val="MTDisplayEquation Char"/>
    <w:link w:val="41"/>
    <w:qFormat/>
    <w:uiPriority w:val="0"/>
    <w:rPr>
      <w:sz w:val="24"/>
      <w:szCs w:val="24"/>
    </w:rPr>
  </w:style>
  <w:style w:type="paragraph" w:customStyle="1" w:styleId="41">
    <w:name w:val="MTDisplayEquation"/>
    <w:basedOn w:val="1"/>
    <w:next w:val="1"/>
    <w:link w:val="40"/>
    <w:qFormat/>
    <w:uiPriority w:val="0"/>
    <w:pPr>
      <w:tabs>
        <w:tab w:val="center" w:pos="4160"/>
        <w:tab w:val="right" w:pos="8300"/>
      </w:tabs>
      <w:autoSpaceDE w:val="0"/>
      <w:autoSpaceDN w:val="0"/>
      <w:adjustRightInd w:val="0"/>
      <w:spacing w:line="360" w:lineRule="auto"/>
      <w:ind w:firstLine="480" w:firstLineChars="200"/>
      <w:jc w:val="left"/>
    </w:pPr>
    <w:rPr>
      <w:kern w:val="0"/>
      <w:sz w:val="24"/>
      <w:lang w:val="zh-CN" w:eastAsia="zh-CN"/>
    </w:rPr>
  </w:style>
  <w:style w:type="character" w:customStyle="1" w:styleId="42">
    <w:name w:val="font01"/>
    <w:qFormat/>
    <w:uiPriority w:val="0"/>
    <w:rPr>
      <w:rFonts w:hint="default" w:ascii="Times New Roman" w:hAnsi="Times New Roman" w:cs="Times New Roman"/>
      <w:b/>
      <w:color w:val="000000"/>
      <w:sz w:val="20"/>
      <w:szCs w:val="20"/>
      <w:u w:val="none"/>
      <w:vertAlign w:val="superscript"/>
    </w:rPr>
  </w:style>
  <w:style w:type="character" w:customStyle="1" w:styleId="43">
    <w:name w:val="font61"/>
    <w:qFormat/>
    <w:uiPriority w:val="0"/>
    <w:rPr>
      <w:rFonts w:hint="eastAsia" w:ascii="宋体" w:hAnsi="宋体" w:eastAsia="宋体" w:cs="宋体"/>
      <w:b/>
      <w:color w:val="000000"/>
      <w:sz w:val="20"/>
      <w:szCs w:val="20"/>
      <w:u w:val="none"/>
    </w:rPr>
  </w:style>
  <w:style w:type="character" w:customStyle="1" w:styleId="44">
    <w:name w:val="页脚 字符"/>
    <w:link w:val="15"/>
    <w:qFormat/>
    <w:uiPriority w:val="99"/>
    <w:rPr>
      <w:kern w:val="2"/>
      <w:sz w:val="18"/>
      <w:szCs w:val="18"/>
    </w:rPr>
  </w:style>
  <w:style w:type="character" w:customStyle="1" w:styleId="45">
    <w:name w:val="font31"/>
    <w:qFormat/>
    <w:uiPriority w:val="0"/>
    <w:rPr>
      <w:rFonts w:hint="eastAsia" w:ascii="宋体" w:hAnsi="宋体" w:eastAsia="宋体" w:cs="宋体"/>
      <w:color w:val="000000"/>
      <w:sz w:val="20"/>
      <w:szCs w:val="20"/>
      <w:u w:val="none"/>
    </w:rPr>
  </w:style>
  <w:style w:type="character" w:customStyle="1" w:styleId="46">
    <w:name w:val="日期 字符"/>
    <w:link w:val="13"/>
    <w:qFormat/>
    <w:uiPriority w:val="0"/>
    <w:rPr>
      <w:kern w:val="2"/>
      <w:sz w:val="21"/>
      <w:szCs w:val="24"/>
    </w:rPr>
  </w:style>
  <w:style w:type="paragraph" w:customStyle="1" w:styleId="47">
    <w:name w:val="水保1级"/>
    <w:basedOn w:val="2"/>
    <w:qFormat/>
    <w:uiPriority w:val="0"/>
    <w:pPr>
      <w:jc w:val="center"/>
    </w:pPr>
    <w:rPr>
      <w:sz w:val="36"/>
    </w:rPr>
  </w:style>
  <w:style w:type="character" w:customStyle="1" w:styleId="48">
    <w:name w:val="标题 1 字符"/>
    <w:link w:val="2"/>
    <w:qFormat/>
    <w:uiPriority w:val="0"/>
    <w:rPr>
      <w:b/>
      <w:bCs/>
      <w:kern w:val="44"/>
      <w:sz w:val="44"/>
      <w:szCs w:val="44"/>
    </w:rPr>
  </w:style>
  <w:style w:type="character" w:customStyle="1" w:styleId="49">
    <w:name w:val="标题 2 字符"/>
    <w:link w:val="3"/>
    <w:qFormat/>
    <w:uiPriority w:val="0"/>
    <w:rPr>
      <w:rFonts w:ascii="Arial" w:hAnsi="Arial" w:eastAsia="黑体" w:cs="Arial"/>
      <w:b/>
      <w:bCs/>
      <w:kern w:val="2"/>
      <w:sz w:val="32"/>
      <w:szCs w:val="32"/>
    </w:rPr>
  </w:style>
  <w:style w:type="character" w:customStyle="1" w:styleId="50">
    <w:name w:val="标题 3 字符"/>
    <w:link w:val="4"/>
    <w:qFormat/>
    <w:uiPriority w:val="0"/>
    <w:rPr>
      <w:rFonts w:eastAsia="仿宋_GB2312"/>
      <w:b/>
      <w:bCs/>
      <w:kern w:val="2"/>
      <w:sz w:val="30"/>
      <w:szCs w:val="30"/>
    </w:rPr>
  </w:style>
  <w:style w:type="paragraph" w:customStyle="1" w:styleId="51">
    <w:name w:val="标准正文格式"/>
    <w:basedOn w:val="1"/>
    <w:link w:val="52"/>
    <w:qFormat/>
    <w:uiPriority w:val="0"/>
    <w:pPr>
      <w:tabs>
        <w:tab w:val="left" w:pos="1701"/>
      </w:tabs>
      <w:topLinePunct/>
      <w:spacing w:line="500" w:lineRule="exact"/>
      <w:ind w:firstLine="472" w:firstLineChars="200"/>
    </w:pPr>
    <w:rPr>
      <w:bCs/>
      <w:spacing w:val="-2"/>
      <w:kern w:val="0"/>
      <w:sz w:val="24"/>
      <w:lang w:val="zh-CN" w:eastAsia="zh-CN"/>
    </w:rPr>
  </w:style>
  <w:style w:type="character" w:customStyle="1" w:styleId="52">
    <w:name w:val="标准正文格式 Char"/>
    <w:link w:val="51"/>
    <w:uiPriority w:val="0"/>
    <w:rPr>
      <w:bCs/>
      <w:spacing w:val="-2"/>
      <w:sz w:val="24"/>
      <w:szCs w:val="24"/>
      <w:lang w:val="zh-CN" w:eastAsia="zh-CN"/>
    </w:rPr>
  </w:style>
  <w:style w:type="paragraph" w:customStyle="1" w:styleId="53">
    <w:name w:val="表内文字"/>
    <w:basedOn w:val="1"/>
    <w:qFormat/>
    <w:uiPriority w:val="0"/>
    <w:pPr>
      <w:autoSpaceDE w:val="0"/>
      <w:autoSpaceDN w:val="0"/>
      <w:jc w:val="center"/>
    </w:pPr>
    <w:rPr>
      <w:rFonts w:eastAsia="仿宋_GB2312"/>
      <w:color w:val="0000FF"/>
      <w:kern w:val="0"/>
    </w:rPr>
  </w:style>
  <w:style w:type="character" w:customStyle="1" w:styleId="54">
    <w:name w:val="标题 字符"/>
    <w:link w:val="22"/>
    <w:qFormat/>
    <w:uiPriority w:val="0"/>
    <w:rPr>
      <w:rFonts w:ascii="Calibri Light" w:hAnsi="Calibri Light" w:cs="Times New Roman"/>
      <w:b/>
      <w:bCs/>
      <w:kern w:val="2"/>
      <w:sz w:val="32"/>
      <w:szCs w:val="32"/>
    </w:rPr>
  </w:style>
  <w:style w:type="character" w:customStyle="1" w:styleId="55">
    <w:name w:val="正文文本 字符"/>
    <w:link w:val="9"/>
    <w:qFormat/>
    <w:uiPriority w:val="0"/>
    <w:rPr>
      <w:kern w:val="2"/>
      <w:sz w:val="30"/>
      <w:szCs w:val="24"/>
    </w:rPr>
  </w:style>
  <w:style w:type="character" w:customStyle="1" w:styleId="56">
    <w:name w:val="正文文本 Char"/>
    <w:basedOn w:val="26"/>
    <w:uiPriority w:val="0"/>
    <w:rPr>
      <w:kern w:val="2"/>
      <w:sz w:val="21"/>
      <w:szCs w:val="24"/>
    </w:rPr>
  </w:style>
  <w:style w:type="paragraph" w:customStyle="1" w:styleId="5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58">
    <w:name w:val="_水保方案2019版_正文"/>
    <w:link w:val="59"/>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customStyle="1" w:styleId="59">
    <w:name w:val="_水保方案2019版_正文 字符"/>
    <w:link w:val="58"/>
    <w:qFormat/>
    <w:uiPriority w:val="0"/>
    <w:rPr>
      <w:rFonts w:eastAsia="仿宋_GB2312"/>
      <w:kern w:val="2"/>
      <w:sz w:val="24"/>
      <w:szCs w:val="24"/>
    </w:rPr>
  </w:style>
  <w:style w:type="paragraph" w:customStyle="1" w:styleId="6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eastAsia="zh-CN"/>
    </w:rPr>
  </w:style>
  <w:style w:type="character" w:customStyle="1" w:styleId="61">
    <w:name w:val="表格文本 Char"/>
    <w:link w:val="62"/>
    <w:qFormat/>
    <w:uiPriority w:val="0"/>
    <w:rPr>
      <w:rFonts w:eastAsia="仿宋_GB2312"/>
      <w:color w:val="000000"/>
      <w:kern w:val="2"/>
      <w:sz w:val="18"/>
      <w:szCs w:val="21"/>
    </w:rPr>
  </w:style>
  <w:style w:type="paragraph" w:customStyle="1" w:styleId="62">
    <w:name w:val="表格文本"/>
    <w:basedOn w:val="1"/>
    <w:next w:val="1"/>
    <w:link w:val="61"/>
    <w:qFormat/>
    <w:uiPriority w:val="0"/>
    <w:pPr>
      <w:adjustRightInd w:val="0"/>
      <w:snapToGrid w:val="0"/>
      <w:jc w:val="center"/>
    </w:pPr>
    <w:rPr>
      <w:rFonts w:eastAsia="仿宋_GB2312"/>
      <w:color w:val="000000"/>
      <w:sz w:val="18"/>
      <w:szCs w:val="21"/>
    </w:rPr>
  </w:style>
  <w:style w:type="paragraph" w:styleId="63">
    <w:name w:val="List Paragraph"/>
    <w:basedOn w:val="1"/>
    <w:qFormat/>
    <w:uiPriority w:val="34"/>
    <w:pPr>
      <w:ind w:firstLine="420" w:firstLineChars="200"/>
    </w:pPr>
    <w:rPr>
      <w:rFonts w:eastAsia="仿宋_GB2312"/>
      <w:sz w:val="24"/>
      <w:szCs w:val="20"/>
    </w:rPr>
  </w:style>
  <w:style w:type="character" w:customStyle="1" w:styleId="64">
    <w:name w:val="批注文字 字符"/>
    <w:basedOn w:val="26"/>
    <w:link w:val="8"/>
    <w:semiHidden/>
    <w:uiPriority w:val="0"/>
    <w:rPr>
      <w:kern w:val="2"/>
      <w:sz w:val="21"/>
      <w:szCs w:val="24"/>
    </w:rPr>
  </w:style>
  <w:style w:type="character" w:customStyle="1" w:styleId="65">
    <w:name w:val="日期 Char"/>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0DB41-A5E2-4FEC-9B06-D85BE5938437}">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13141</Words>
  <Characters>14916</Characters>
  <Lines>131</Lines>
  <Paragraphs>37</Paragraphs>
  <TotalTime>1434</TotalTime>
  <ScaleCrop>false</ScaleCrop>
  <LinksUpToDate>false</LinksUpToDate>
  <CharactersWithSpaces>15115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2023-04-13T09:08:00Z</dcterms:created>
  <dc:creator>中云智德</dc:creator>
  <cp:lastModifiedBy>天地之间</cp:lastModifiedBy>
  <cp:lastPrinted>2023-05-17T01:17:00Z</cp:lastPrinted>
  <dcterms:modified xsi:type="dcterms:W3CDTF">2023-06-26T06:29:42Z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MTWinEqns">
    <vt:bool>true</vt:bool>
  </property>
  <property fmtid="{D5CDD505-2E9C-101B-9397-08002B2CF9AE}" pid="4" name="ICV">
    <vt:lpwstr>F7946047FCA042AF8EA720FF8E6B3C97_12</vt:lpwstr>
  </property>
</Properties>
</file>